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3552" w14:textId="3856938A" w:rsidR="005B5DF8" w:rsidRPr="00677250" w:rsidRDefault="009A5014" w:rsidP="00B84A08">
      <w:pPr>
        <w:ind w:left="-567"/>
        <w:rPr>
          <w:rStyle w:val="Itemheader1"/>
          <w:rFonts w:asciiTheme="minorHAnsi" w:hAnsiTheme="minorHAnsi" w:cstheme="minorHAnsi"/>
        </w:rPr>
      </w:pPr>
      <w:r w:rsidRPr="00677250">
        <w:rPr>
          <w:rFonts w:asciiTheme="minorHAnsi" w:hAnsiTheme="minorHAnsi" w:cstheme="minorHAnsi"/>
          <w:noProof/>
          <w:color w:val="008080"/>
          <w:sz w:val="32"/>
          <w:lang w:eastAsia="en-GB"/>
        </w:rPr>
        <w:drawing>
          <wp:anchor distT="0" distB="0" distL="114300" distR="114300" simplePos="0" relativeHeight="251657728" behindDoc="0" locked="0" layoutInCell="1" allowOverlap="1" wp14:anchorId="3160025E" wp14:editId="614DBC99">
            <wp:simplePos x="0" y="0"/>
            <wp:positionH relativeFrom="column">
              <wp:posOffset>3257550</wp:posOffset>
            </wp:positionH>
            <wp:positionV relativeFrom="paragraph">
              <wp:posOffset>-443230</wp:posOffset>
            </wp:positionV>
            <wp:extent cx="2947035" cy="10991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95545" w14:textId="77777777" w:rsidR="005B5DF8" w:rsidRPr="00677250" w:rsidRDefault="005B5DF8" w:rsidP="00B84A08">
      <w:pPr>
        <w:ind w:left="-567"/>
        <w:rPr>
          <w:rStyle w:val="Itemheader1"/>
          <w:rFonts w:asciiTheme="minorHAnsi" w:hAnsiTheme="minorHAnsi" w:cstheme="minorHAnsi"/>
        </w:rPr>
      </w:pPr>
    </w:p>
    <w:p w14:paraId="729900AB" w14:textId="77777777" w:rsidR="005B5DF8" w:rsidRPr="00677250" w:rsidRDefault="005B5DF8" w:rsidP="00B84A08">
      <w:pPr>
        <w:ind w:left="-567"/>
        <w:rPr>
          <w:rStyle w:val="Itemheader1"/>
          <w:rFonts w:asciiTheme="minorHAnsi" w:hAnsiTheme="minorHAnsi" w:cstheme="minorHAnsi"/>
        </w:rPr>
      </w:pPr>
    </w:p>
    <w:p w14:paraId="72BBA0B2" w14:textId="77777777" w:rsidR="005B5DF8" w:rsidRPr="00677250" w:rsidRDefault="005B5DF8" w:rsidP="00B84A08">
      <w:pPr>
        <w:ind w:left="-567"/>
        <w:rPr>
          <w:rStyle w:val="Itemheader1"/>
          <w:rFonts w:asciiTheme="minorHAnsi" w:hAnsiTheme="minorHAnsi" w:cstheme="minorHAnsi"/>
        </w:rPr>
      </w:pPr>
    </w:p>
    <w:p w14:paraId="2310C12E" w14:textId="77777777" w:rsidR="005B5DF8" w:rsidRPr="00677250" w:rsidRDefault="005B5DF8" w:rsidP="00B84A08">
      <w:pPr>
        <w:ind w:left="-567"/>
        <w:rPr>
          <w:rStyle w:val="Itemheader1"/>
          <w:rFonts w:asciiTheme="minorHAnsi" w:hAnsiTheme="minorHAnsi" w:cstheme="minorHAnsi"/>
        </w:rPr>
      </w:pPr>
    </w:p>
    <w:p w14:paraId="54CFC692" w14:textId="77777777" w:rsidR="005B5DF8" w:rsidRPr="00677250" w:rsidRDefault="005B5DF8" w:rsidP="00B84A08">
      <w:pPr>
        <w:ind w:left="-567"/>
        <w:rPr>
          <w:rStyle w:val="Itemheader1"/>
          <w:rFonts w:asciiTheme="minorHAnsi" w:hAnsiTheme="minorHAnsi" w:cstheme="minorHAnsi"/>
        </w:rPr>
      </w:pPr>
    </w:p>
    <w:p w14:paraId="4201A61B" w14:textId="77777777" w:rsidR="005B5DF8" w:rsidRPr="00677250" w:rsidRDefault="005B5DF8" w:rsidP="00B84A08">
      <w:pPr>
        <w:ind w:left="-567"/>
        <w:rPr>
          <w:rStyle w:val="Itemheader1"/>
          <w:rFonts w:asciiTheme="minorHAnsi" w:hAnsiTheme="minorHAnsi" w:cstheme="minorHAnsi"/>
        </w:rPr>
      </w:pPr>
    </w:p>
    <w:p w14:paraId="544E3632" w14:textId="77777777" w:rsidR="005B5DF8" w:rsidRPr="00677250" w:rsidRDefault="005B5DF8" w:rsidP="00B84A08">
      <w:pPr>
        <w:ind w:left="-567"/>
        <w:rPr>
          <w:rStyle w:val="Itemheader1"/>
          <w:rFonts w:asciiTheme="minorHAnsi" w:hAnsiTheme="minorHAnsi" w:cstheme="minorHAnsi"/>
        </w:rPr>
      </w:pPr>
    </w:p>
    <w:p w14:paraId="5781F494" w14:textId="77777777" w:rsidR="005B5DF8" w:rsidRPr="00677250" w:rsidRDefault="005B5DF8" w:rsidP="00B84A08">
      <w:pPr>
        <w:ind w:left="-567"/>
        <w:rPr>
          <w:rStyle w:val="Itemheader1"/>
          <w:rFonts w:asciiTheme="minorHAnsi" w:hAnsiTheme="minorHAnsi" w:cstheme="minorHAnsi"/>
        </w:rPr>
      </w:pPr>
    </w:p>
    <w:p w14:paraId="2F90B87E" w14:textId="77777777" w:rsidR="005B5DF8" w:rsidRPr="00677250" w:rsidRDefault="005B5DF8" w:rsidP="00B84A08">
      <w:pPr>
        <w:ind w:left="-567"/>
        <w:rPr>
          <w:rStyle w:val="Itemheader1"/>
          <w:rFonts w:asciiTheme="minorHAnsi" w:hAnsiTheme="minorHAnsi" w:cstheme="minorHAnsi"/>
        </w:rPr>
      </w:pPr>
    </w:p>
    <w:p w14:paraId="5E0294BC" w14:textId="77777777" w:rsidR="005B5DF8" w:rsidRPr="00677250" w:rsidRDefault="005B5DF8" w:rsidP="00B84A08">
      <w:pPr>
        <w:ind w:left="-567"/>
        <w:rPr>
          <w:rStyle w:val="Itemheader1"/>
          <w:rFonts w:asciiTheme="minorHAnsi" w:hAnsiTheme="minorHAnsi" w:cstheme="minorHAnsi"/>
        </w:rPr>
      </w:pPr>
    </w:p>
    <w:p w14:paraId="4E132EEE" w14:textId="77777777" w:rsidR="00580966" w:rsidRDefault="00580966" w:rsidP="005B5DF8">
      <w:pPr>
        <w:ind w:left="-567"/>
        <w:rPr>
          <w:rStyle w:val="Itemheader1"/>
          <w:rFonts w:asciiTheme="minorHAnsi" w:hAnsiTheme="minorHAnsi" w:cstheme="minorHAnsi"/>
          <w:b/>
          <w:sz w:val="56"/>
          <w:szCs w:val="56"/>
        </w:rPr>
      </w:pPr>
    </w:p>
    <w:p w14:paraId="2410DDC5" w14:textId="75554961" w:rsidR="003D267B" w:rsidRPr="00677250" w:rsidRDefault="002A053D" w:rsidP="00341233">
      <w:pPr>
        <w:rPr>
          <w:rStyle w:val="Itemheader1"/>
          <w:rFonts w:asciiTheme="minorHAnsi" w:hAnsiTheme="minorHAnsi" w:cstheme="minorHAnsi"/>
          <w:b/>
          <w:sz w:val="56"/>
          <w:szCs w:val="56"/>
        </w:rPr>
      </w:pPr>
      <w:r>
        <w:rPr>
          <w:rStyle w:val="Itemheader1"/>
          <w:rFonts w:asciiTheme="minorHAnsi" w:hAnsiTheme="minorHAnsi" w:cstheme="minorHAnsi"/>
          <w:b/>
          <w:sz w:val="56"/>
          <w:szCs w:val="56"/>
        </w:rPr>
        <w:t xml:space="preserve">Risk and Assurance </w:t>
      </w:r>
      <w:r w:rsidR="00B4272A" w:rsidRPr="00677250">
        <w:rPr>
          <w:rStyle w:val="Itemheader1"/>
          <w:rFonts w:asciiTheme="minorHAnsi" w:hAnsiTheme="minorHAnsi" w:cstheme="minorHAnsi"/>
          <w:b/>
          <w:sz w:val="56"/>
          <w:szCs w:val="56"/>
        </w:rPr>
        <w:t>Manager</w:t>
      </w:r>
    </w:p>
    <w:p w14:paraId="36189081" w14:textId="77777777" w:rsidR="00DB5D1C" w:rsidRPr="00677250" w:rsidRDefault="00DB5D1C" w:rsidP="00341233">
      <w:pPr>
        <w:rPr>
          <w:rStyle w:val="Itemheader1"/>
          <w:rFonts w:asciiTheme="minorHAnsi" w:hAnsiTheme="minorHAnsi" w:cstheme="minorHAnsi"/>
          <w:b/>
          <w:sz w:val="56"/>
          <w:szCs w:val="56"/>
        </w:rPr>
      </w:pPr>
    </w:p>
    <w:p w14:paraId="676C78B5" w14:textId="77777777" w:rsidR="005B5DF8" w:rsidRPr="00677250" w:rsidRDefault="005B5DF8" w:rsidP="00341233">
      <w:pPr>
        <w:rPr>
          <w:rStyle w:val="Itemheader1"/>
          <w:rFonts w:asciiTheme="minorHAnsi" w:hAnsiTheme="minorHAnsi" w:cstheme="minorHAnsi"/>
          <w:b/>
          <w:sz w:val="56"/>
          <w:szCs w:val="56"/>
        </w:rPr>
      </w:pPr>
      <w:r w:rsidRPr="00677250">
        <w:rPr>
          <w:rStyle w:val="Itemheader1"/>
          <w:rFonts w:asciiTheme="minorHAnsi" w:hAnsiTheme="minorHAnsi" w:cstheme="minorHAnsi"/>
          <w:b/>
          <w:sz w:val="56"/>
          <w:szCs w:val="56"/>
        </w:rPr>
        <w:t>Information about the appointment and candidate brief</w:t>
      </w:r>
    </w:p>
    <w:p w14:paraId="475F9B69" w14:textId="77777777" w:rsidR="005B5DF8" w:rsidRPr="00677250" w:rsidRDefault="005B5DF8" w:rsidP="00341233">
      <w:pPr>
        <w:rPr>
          <w:rStyle w:val="Itemheader1"/>
          <w:rFonts w:asciiTheme="minorHAnsi" w:hAnsiTheme="minorHAnsi" w:cstheme="minorHAnsi"/>
        </w:rPr>
      </w:pPr>
    </w:p>
    <w:p w14:paraId="39D9D4F3" w14:textId="4A6FFF00" w:rsidR="005B5DF8" w:rsidRPr="00677250" w:rsidRDefault="00CD6F82" w:rsidP="00341233">
      <w:pPr>
        <w:rPr>
          <w:rStyle w:val="Itemheader1"/>
          <w:rFonts w:asciiTheme="minorHAnsi" w:hAnsiTheme="minorHAnsi" w:cstheme="minorHAnsi"/>
        </w:rPr>
      </w:pPr>
      <w:r>
        <w:rPr>
          <w:rStyle w:val="Itemheader1"/>
          <w:rFonts w:asciiTheme="minorHAnsi" w:hAnsiTheme="minorHAnsi" w:cstheme="minorHAnsi"/>
        </w:rPr>
        <w:t>May</w:t>
      </w:r>
      <w:r w:rsidRPr="00677250">
        <w:rPr>
          <w:rStyle w:val="Itemheader1"/>
          <w:rFonts w:asciiTheme="minorHAnsi" w:hAnsiTheme="minorHAnsi" w:cstheme="minorHAnsi"/>
        </w:rPr>
        <w:t xml:space="preserve"> </w:t>
      </w:r>
      <w:r w:rsidR="00AF6536" w:rsidRPr="00677250">
        <w:rPr>
          <w:rStyle w:val="Itemheader1"/>
          <w:rFonts w:asciiTheme="minorHAnsi" w:hAnsiTheme="minorHAnsi" w:cstheme="minorHAnsi"/>
        </w:rPr>
        <w:t>202</w:t>
      </w:r>
      <w:r w:rsidR="002A053D">
        <w:rPr>
          <w:rStyle w:val="Itemheader1"/>
          <w:rFonts w:asciiTheme="minorHAnsi" w:hAnsiTheme="minorHAnsi" w:cstheme="minorHAnsi"/>
        </w:rPr>
        <w:t>3</w:t>
      </w:r>
    </w:p>
    <w:p w14:paraId="74CB44E4" w14:textId="2905C58D" w:rsidR="00806980" w:rsidRPr="007D3293" w:rsidRDefault="007D3293" w:rsidP="00341233">
      <w:pPr>
        <w:pStyle w:val="Itembody"/>
        <w:ind w:left="0"/>
        <w:rPr>
          <w:rFonts w:asciiTheme="minorHAnsi" w:hAnsiTheme="minorHAnsi" w:cstheme="minorHAnsi"/>
          <w:bCs/>
          <w:color w:val="008080"/>
          <w:sz w:val="32"/>
          <w:szCs w:val="32"/>
        </w:rPr>
      </w:pPr>
      <w:r w:rsidRPr="00CE2FC7">
        <w:rPr>
          <w:rFonts w:asciiTheme="minorHAnsi" w:hAnsiTheme="minorHAnsi" w:cstheme="minorHAnsi"/>
          <w:bCs/>
          <w:color w:val="008080"/>
          <w:sz w:val="32"/>
          <w:szCs w:val="32"/>
        </w:rPr>
        <w:t>(</w:t>
      </w:r>
      <w:r w:rsidR="00365120">
        <w:rPr>
          <w:rFonts w:asciiTheme="minorHAnsi" w:hAnsiTheme="minorHAnsi" w:cstheme="minorHAnsi"/>
          <w:bCs/>
          <w:color w:val="008080"/>
          <w:sz w:val="32"/>
          <w:szCs w:val="32"/>
        </w:rPr>
        <w:t>Open to f</w:t>
      </w:r>
      <w:r w:rsidRPr="00CE2FC7">
        <w:rPr>
          <w:rFonts w:asciiTheme="minorHAnsi" w:hAnsiTheme="minorHAnsi" w:cstheme="minorHAnsi"/>
          <w:bCs/>
          <w:color w:val="008080"/>
          <w:sz w:val="32"/>
          <w:szCs w:val="32"/>
        </w:rPr>
        <w:t>lexible working, part-time and job share)</w:t>
      </w:r>
    </w:p>
    <w:p w14:paraId="351EDE22" w14:textId="77777777" w:rsidR="00A00652" w:rsidRPr="00677250" w:rsidRDefault="00CB1EE7" w:rsidP="00CB1EE7">
      <w:pPr>
        <w:pStyle w:val="Itembody"/>
        <w:ind w:left="0"/>
        <w:rPr>
          <w:rFonts w:asciiTheme="minorHAnsi" w:hAnsiTheme="minorHAnsi" w:cstheme="minorHAnsi"/>
          <w:color w:val="000000"/>
          <w:szCs w:val="22"/>
        </w:rPr>
      </w:pPr>
      <w:r w:rsidRPr="00677250">
        <w:rPr>
          <w:rFonts w:asciiTheme="minorHAnsi" w:hAnsiTheme="minorHAnsi" w:cstheme="minorHAnsi"/>
          <w:color w:val="000000"/>
          <w:szCs w:val="22"/>
        </w:rPr>
        <w:t xml:space="preserve"> </w:t>
      </w:r>
    </w:p>
    <w:p w14:paraId="7C3C8934" w14:textId="77777777" w:rsidR="00A00652" w:rsidRPr="00677250" w:rsidRDefault="00A00652" w:rsidP="001255FF">
      <w:pPr>
        <w:pStyle w:val="Itembody"/>
        <w:spacing w:line="240" w:lineRule="auto"/>
        <w:rPr>
          <w:rFonts w:asciiTheme="minorHAnsi" w:hAnsiTheme="minorHAnsi" w:cstheme="minorHAnsi"/>
          <w:color w:val="000000"/>
          <w:sz w:val="22"/>
          <w:szCs w:val="22"/>
        </w:rPr>
      </w:pPr>
    </w:p>
    <w:p w14:paraId="39687B57" w14:textId="77777777" w:rsidR="008B165A" w:rsidRPr="00677250" w:rsidRDefault="001255FF" w:rsidP="001255FF">
      <w:pPr>
        <w:pStyle w:val="Itembody"/>
        <w:spacing w:line="240" w:lineRule="auto"/>
        <w:rPr>
          <w:rFonts w:asciiTheme="minorHAnsi" w:hAnsiTheme="minorHAnsi" w:cstheme="minorHAnsi"/>
          <w:sz w:val="22"/>
          <w:szCs w:val="22"/>
        </w:rPr>
      </w:pPr>
      <w:r w:rsidRPr="00677250">
        <w:rPr>
          <w:rFonts w:asciiTheme="minorHAnsi" w:hAnsiTheme="minorHAnsi" w:cstheme="minorHAnsi"/>
          <w:sz w:val="22"/>
          <w:szCs w:val="22"/>
        </w:rPr>
        <w:t xml:space="preserve"> </w:t>
      </w:r>
    </w:p>
    <w:p w14:paraId="78507E5C" w14:textId="684C4A09" w:rsidR="00F52630" w:rsidRPr="00F802DC" w:rsidRDefault="00646319" w:rsidP="00341233">
      <w:pPr>
        <w:pStyle w:val="Default"/>
        <w:spacing w:after="120" w:line="360" w:lineRule="auto"/>
        <w:outlineLvl w:val="0"/>
        <w:rPr>
          <w:rFonts w:asciiTheme="minorHAnsi" w:hAnsiTheme="minorHAnsi" w:cstheme="minorHAnsi"/>
          <w:b/>
          <w:color w:val="31849B"/>
          <w:sz w:val="32"/>
          <w:szCs w:val="32"/>
        </w:rPr>
      </w:pPr>
      <w:r w:rsidRPr="00677250">
        <w:rPr>
          <w:rFonts w:asciiTheme="minorHAnsi" w:hAnsiTheme="minorHAnsi" w:cstheme="minorHAnsi"/>
        </w:rPr>
        <w:br w:type="page"/>
      </w:r>
    </w:p>
    <w:p w14:paraId="6D89C28B" w14:textId="22A0050D" w:rsidR="00146BB3" w:rsidRPr="00F802DC" w:rsidRDefault="00146BB3" w:rsidP="00F802DC">
      <w:pPr>
        <w:pStyle w:val="Heading2"/>
        <w:ind w:left="0"/>
        <w:jc w:val="both"/>
        <w:rPr>
          <w:rStyle w:val="Itemreference"/>
          <w:rFonts w:ascii="Calibri" w:hAnsi="Calibri" w:cs="Calibri"/>
          <w:b/>
          <w:bCs/>
          <w:sz w:val="32"/>
          <w:szCs w:val="32"/>
        </w:rPr>
      </w:pPr>
      <w:bookmarkStart w:id="0" w:name="_Toc494811044"/>
      <w:bookmarkStart w:id="1" w:name="_Toc108001986"/>
      <w:bookmarkStart w:id="2" w:name="_Toc494811036"/>
      <w:r w:rsidRPr="00F802DC">
        <w:rPr>
          <w:rStyle w:val="Itemreference"/>
          <w:rFonts w:ascii="Calibri" w:hAnsi="Calibri" w:cs="Calibri"/>
          <w:b/>
          <w:bCs/>
          <w:sz w:val="32"/>
          <w:szCs w:val="32"/>
        </w:rPr>
        <w:lastRenderedPageBreak/>
        <w:t>An Introduction to British Transport Police Authority</w:t>
      </w:r>
      <w:bookmarkEnd w:id="0"/>
      <w:bookmarkEnd w:id="1"/>
    </w:p>
    <w:p w14:paraId="0688333C" w14:textId="1954F056" w:rsidR="00283B7E" w:rsidRDefault="00A40A10" w:rsidP="00341233">
      <w:pPr>
        <w:jc w:val="both"/>
        <w:rPr>
          <w:rFonts w:ascii="Calibri" w:hAnsi="Calibri" w:cs="Calibri"/>
          <w:bCs/>
          <w:color w:val="000000"/>
          <w:szCs w:val="24"/>
        </w:rPr>
      </w:pPr>
      <w:r w:rsidRPr="00A40A10">
        <w:rPr>
          <w:rFonts w:ascii="Calibri" w:hAnsi="Calibri" w:cs="Calibri"/>
          <w:bCs/>
          <w:color w:val="000000"/>
          <w:szCs w:val="24"/>
        </w:rPr>
        <w:t>The British Transport Police Authority (BTPA</w:t>
      </w:r>
      <w:proofErr w:type="gramStart"/>
      <w:r w:rsidR="00E862FD">
        <w:rPr>
          <w:rFonts w:ascii="Calibri" w:hAnsi="Calibri" w:cs="Calibri"/>
          <w:bCs/>
          <w:color w:val="000000"/>
          <w:szCs w:val="24"/>
        </w:rPr>
        <w:t>/“</w:t>
      </w:r>
      <w:proofErr w:type="gramEnd"/>
      <w:r w:rsidR="00E862FD">
        <w:rPr>
          <w:rFonts w:ascii="Calibri" w:hAnsi="Calibri" w:cs="Calibri"/>
          <w:bCs/>
          <w:color w:val="000000"/>
          <w:szCs w:val="24"/>
        </w:rPr>
        <w:t>the Authority”</w:t>
      </w:r>
      <w:r w:rsidRPr="00A40A10">
        <w:rPr>
          <w:rFonts w:ascii="Calibri" w:hAnsi="Calibri" w:cs="Calibri"/>
          <w:bCs/>
          <w:color w:val="000000"/>
          <w:szCs w:val="24"/>
        </w:rPr>
        <w:t>) is the independent oversight body of the British Transport Police (BTP</w:t>
      </w:r>
      <w:r w:rsidR="00E862FD">
        <w:rPr>
          <w:rFonts w:ascii="Calibri" w:hAnsi="Calibri" w:cs="Calibri"/>
          <w:bCs/>
          <w:color w:val="000000"/>
          <w:szCs w:val="24"/>
        </w:rPr>
        <w:t>/“the Force”</w:t>
      </w:r>
      <w:r w:rsidRPr="00A40A10">
        <w:rPr>
          <w:rFonts w:ascii="Calibri" w:hAnsi="Calibri" w:cs="Calibri"/>
          <w:bCs/>
          <w:color w:val="000000"/>
          <w:szCs w:val="24"/>
        </w:rPr>
        <w:t>).</w:t>
      </w:r>
    </w:p>
    <w:p w14:paraId="689E8707" w14:textId="77777777" w:rsidR="00283B7E" w:rsidRPr="00A40A10" w:rsidRDefault="00283B7E" w:rsidP="00341233">
      <w:pPr>
        <w:jc w:val="both"/>
        <w:rPr>
          <w:rFonts w:ascii="Calibri" w:hAnsi="Calibri" w:cs="Calibri"/>
          <w:bCs/>
          <w:color w:val="000000"/>
          <w:szCs w:val="24"/>
        </w:rPr>
      </w:pPr>
    </w:p>
    <w:p w14:paraId="1B6885F5" w14:textId="0EE50292" w:rsidR="00A40A10" w:rsidRPr="00A40A10" w:rsidRDefault="00A40A10" w:rsidP="00341233">
      <w:pPr>
        <w:jc w:val="both"/>
        <w:rPr>
          <w:rFonts w:ascii="Calibri" w:hAnsi="Calibri" w:cs="Calibri"/>
          <w:szCs w:val="24"/>
        </w:rPr>
      </w:pPr>
      <w:r w:rsidRPr="00A40A10">
        <w:rPr>
          <w:rFonts w:ascii="Calibri" w:hAnsi="Calibri" w:cs="Calibri"/>
          <w:szCs w:val="24"/>
        </w:rPr>
        <w:t>BTPA was formally established under the Railways and Transport Safety Act 2003 (</w:t>
      </w:r>
      <w:r w:rsidR="00BD3D59">
        <w:rPr>
          <w:rFonts w:ascii="Calibri" w:hAnsi="Calibri" w:cs="Calibri"/>
          <w:szCs w:val="24"/>
        </w:rPr>
        <w:t>“</w:t>
      </w:r>
      <w:r w:rsidRPr="00A40A10">
        <w:rPr>
          <w:rFonts w:ascii="Calibri" w:hAnsi="Calibri" w:cs="Calibri"/>
          <w:szCs w:val="24"/>
        </w:rPr>
        <w:t>the Act</w:t>
      </w:r>
      <w:r w:rsidR="00BD3D59">
        <w:rPr>
          <w:rFonts w:ascii="Calibri" w:hAnsi="Calibri" w:cs="Calibri"/>
          <w:szCs w:val="24"/>
        </w:rPr>
        <w:t>”</w:t>
      </w:r>
      <w:r w:rsidRPr="00A40A10">
        <w:rPr>
          <w:rFonts w:ascii="Calibri" w:hAnsi="Calibri" w:cs="Calibri"/>
          <w:szCs w:val="24"/>
        </w:rPr>
        <w:t>) and</w:t>
      </w:r>
      <w:r w:rsidRPr="00A40A10">
        <w:rPr>
          <w:rFonts w:ascii="Calibri" w:hAnsi="Calibri" w:cs="Calibri"/>
          <w:color w:val="333333"/>
          <w:szCs w:val="24"/>
          <w:shd w:val="clear" w:color="auto" w:fill="FFFFFF"/>
        </w:rPr>
        <w:t xml:space="preserve"> is the independent body responsible for ensuring an efficient and effective police force for rail operators, their </w:t>
      </w:r>
      <w:proofErr w:type="gramStart"/>
      <w:r w:rsidRPr="00A40A10">
        <w:rPr>
          <w:rFonts w:ascii="Calibri" w:hAnsi="Calibri" w:cs="Calibri"/>
          <w:color w:val="333333"/>
          <w:szCs w:val="24"/>
          <w:shd w:val="clear" w:color="auto" w:fill="FFFFFF"/>
        </w:rPr>
        <w:t>staff</w:t>
      </w:r>
      <w:proofErr w:type="gramEnd"/>
      <w:r w:rsidRPr="00A40A10">
        <w:rPr>
          <w:rFonts w:ascii="Calibri" w:hAnsi="Calibri" w:cs="Calibri"/>
          <w:color w:val="333333"/>
          <w:szCs w:val="24"/>
          <w:shd w:val="clear" w:color="auto" w:fill="FFFFFF"/>
        </w:rPr>
        <w:t xml:space="preserve"> and passengers. Its duties and functions are similar to those of </w:t>
      </w:r>
      <w:r w:rsidRPr="00A40A10">
        <w:rPr>
          <w:rFonts w:ascii="Calibri" w:hAnsi="Calibri" w:cs="Calibri"/>
          <w:szCs w:val="24"/>
          <w:shd w:val="clear" w:color="auto" w:fill="FFFFFF"/>
        </w:rPr>
        <w:t>the </w:t>
      </w:r>
      <w:hyperlink r:id="rId9" w:tgtFrame="_blank" w:history="1">
        <w:r w:rsidRPr="00A40A10">
          <w:rPr>
            <w:rFonts w:ascii="Calibri" w:hAnsi="Calibri" w:cs="Calibri"/>
            <w:szCs w:val="24"/>
            <w:shd w:val="clear" w:color="auto" w:fill="FFFFFF"/>
          </w:rPr>
          <w:t>Scottish Police Authority</w:t>
        </w:r>
      </w:hyperlink>
      <w:r w:rsidRPr="00A40A10">
        <w:rPr>
          <w:rFonts w:ascii="Calibri" w:hAnsi="Calibri" w:cs="Calibri"/>
          <w:szCs w:val="24"/>
          <w:shd w:val="clear" w:color="auto" w:fill="FFFFFF"/>
        </w:rPr>
        <w:t> or a </w:t>
      </w:r>
      <w:hyperlink r:id="rId10" w:tgtFrame="_blank" w:history="1">
        <w:r w:rsidR="00BD3D59">
          <w:rPr>
            <w:rFonts w:ascii="Calibri" w:hAnsi="Calibri" w:cs="Calibri"/>
            <w:szCs w:val="24"/>
            <w:shd w:val="clear" w:color="auto" w:fill="FFFFFF"/>
          </w:rPr>
          <w:t>P</w:t>
        </w:r>
        <w:r w:rsidRPr="00A40A10">
          <w:rPr>
            <w:rFonts w:ascii="Calibri" w:hAnsi="Calibri" w:cs="Calibri"/>
            <w:szCs w:val="24"/>
            <w:shd w:val="clear" w:color="auto" w:fill="FFFFFF"/>
          </w:rPr>
          <w:t xml:space="preserve">olice and </w:t>
        </w:r>
        <w:r w:rsidR="00BD3D59">
          <w:rPr>
            <w:rFonts w:ascii="Calibri" w:hAnsi="Calibri" w:cs="Calibri"/>
            <w:szCs w:val="24"/>
            <w:shd w:val="clear" w:color="auto" w:fill="FFFFFF"/>
          </w:rPr>
          <w:t>C</w:t>
        </w:r>
        <w:r w:rsidRPr="00A40A10">
          <w:rPr>
            <w:rFonts w:ascii="Calibri" w:hAnsi="Calibri" w:cs="Calibri"/>
            <w:szCs w:val="24"/>
            <w:shd w:val="clear" w:color="auto" w:fill="FFFFFF"/>
          </w:rPr>
          <w:t xml:space="preserve">rime </w:t>
        </w:r>
        <w:r w:rsidR="00BD3D59">
          <w:rPr>
            <w:rFonts w:ascii="Calibri" w:hAnsi="Calibri" w:cs="Calibri"/>
            <w:szCs w:val="24"/>
            <w:shd w:val="clear" w:color="auto" w:fill="FFFFFF"/>
          </w:rPr>
          <w:t>C</w:t>
        </w:r>
        <w:r w:rsidRPr="00A40A10">
          <w:rPr>
            <w:rFonts w:ascii="Calibri" w:hAnsi="Calibri" w:cs="Calibri"/>
            <w:szCs w:val="24"/>
            <w:shd w:val="clear" w:color="auto" w:fill="FFFFFF"/>
          </w:rPr>
          <w:t>ommissioner</w:t>
        </w:r>
      </w:hyperlink>
      <w:r w:rsidRPr="00A40A10">
        <w:rPr>
          <w:rFonts w:ascii="Calibri" w:hAnsi="Calibri" w:cs="Calibri"/>
          <w:szCs w:val="24"/>
          <w:shd w:val="clear" w:color="auto" w:fill="FFFFFF"/>
        </w:rPr>
        <w:t xml:space="preserve"> in England </w:t>
      </w:r>
      <w:r w:rsidRPr="00A40A10">
        <w:rPr>
          <w:rFonts w:ascii="Calibri" w:hAnsi="Calibri" w:cs="Calibri"/>
          <w:color w:val="333333"/>
          <w:szCs w:val="24"/>
          <w:shd w:val="clear" w:color="auto" w:fill="FFFFFF"/>
        </w:rPr>
        <w:t>and Wales, but it oversees a force that is responsible for policing the railways of Great Britain.</w:t>
      </w:r>
    </w:p>
    <w:p w14:paraId="13E7DA6E" w14:textId="77777777" w:rsidR="00A40A10" w:rsidRPr="00A40A10" w:rsidRDefault="00A40A10" w:rsidP="00341233">
      <w:pPr>
        <w:jc w:val="both"/>
        <w:rPr>
          <w:rFonts w:ascii="Calibri" w:hAnsi="Calibri" w:cs="Calibri"/>
          <w:szCs w:val="24"/>
        </w:rPr>
      </w:pPr>
    </w:p>
    <w:p w14:paraId="40B359F2" w14:textId="6B483185" w:rsidR="00A40A10" w:rsidRPr="00A40A10" w:rsidRDefault="00A40A10" w:rsidP="00341233">
      <w:pPr>
        <w:jc w:val="both"/>
        <w:rPr>
          <w:rFonts w:ascii="Calibri" w:hAnsi="Calibri" w:cs="Calibri"/>
          <w:szCs w:val="24"/>
        </w:rPr>
      </w:pPr>
      <w:r w:rsidRPr="00A40A10">
        <w:rPr>
          <w:rFonts w:ascii="Calibri" w:hAnsi="Calibri" w:cs="Calibri"/>
          <w:szCs w:val="24"/>
        </w:rPr>
        <w:t xml:space="preserve">The Act gives BTP a statutory jurisdiction extending throughout Britain’s railway networks and property.  Within this jurisdiction, a BTP constable has the </w:t>
      </w:r>
      <w:r w:rsidR="00BD3D59">
        <w:rPr>
          <w:rFonts w:ascii="Calibri" w:hAnsi="Calibri" w:cs="Calibri"/>
          <w:szCs w:val="24"/>
        </w:rPr>
        <w:t xml:space="preserve">same </w:t>
      </w:r>
      <w:r w:rsidRPr="00A40A10">
        <w:rPr>
          <w:rFonts w:ascii="Calibri" w:hAnsi="Calibri" w:cs="Calibri"/>
          <w:szCs w:val="24"/>
        </w:rPr>
        <w:t xml:space="preserve">powers and privileges </w:t>
      </w:r>
      <w:r w:rsidR="00BD3D59">
        <w:rPr>
          <w:rFonts w:ascii="Calibri" w:hAnsi="Calibri" w:cs="Calibri"/>
          <w:szCs w:val="24"/>
        </w:rPr>
        <w:t>as</w:t>
      </w:r>
      <w:r w:rsidRPr="00A40A10">
        <w:rPr>
          <w:rFonts w:ascii="Calibri" w:hAnsi="Calibri" w:cs="Calibri"/>
          <w:szCs w:val="24"/>
        </w:rPr>
        <w:t xml:space="preserve"> a Home Office constable. It also extends outside railway property when acting on railway matters.  As a non-Home Office police force, however, BTP differs significantly in terms of </w:t>
      </w:r>
      <w:r w:rsidR="00BD3D59">
        <w:rPr>
          <w:rFonts w:ascii="Calibri" w:hAnsi="Calibri" w:cs="Calibri"/>
          <w:szCs w:val="24"/>
        </w:rPr>
        <w:t xml:space="preserve">governance, </w:t>
      </w:r>
      <w:r w:rsidRPr="00A40A10">
        <w:rPr>
          <w:rFonts w:ascii="Calibri" w:hAnsi="Calibri" w:cs="Calibri"/>
          <w:szCs w:val="24"/>
        </w:rPr>
        <w:t xml:space="preserve">funding, </w:t>
      </w:r>
      <w:proofErr w:type="gramStart"/>
      <w:r w:rsidRPr="00A40A10">
        <w:rPr>
          <w:rFonts w:ascii="Calibri" w:hAnsi="Calibri" w:cs="Calibri"/>
          <w:szCs w:val="24"/>
        </w:rPr>
        <w:t>accountability</w:t>
      </w:r>
      <w:proofErr w:type="gramEnd"/>
      <w:r w:rsidRPr="00A40A10">
        <w:rPr>
          <w:rFonts w:ascii="Calibri" w:hAnsi="Calibri" w:cs="Calibri"/>
          <w:szCs w:val="24"/>
        </w:rPr>
        <w:t xml:space="preserve"> and specialisation. </w:t>
      </w:r>
    </w:p>
    <w:p w14:paraId="3B8E644B" w14:textId="77777777" w:rsidR="00A40A10" w:rsidRPr="00A40A10" w:rsidRDefault="00A40A10" w:rsidP="00341233">
      <w:pPr>
        <w:jc w:val="both"/>
        <w:rPr>
          <w:rFonts w:ascii="Calibri" w:hAnsi="Calibri" w:cs="Calibri"/>
          <w:szCs w:val="24"/>
        </w:rPr>
      </w:pPr>
    </w:p>
    <w:p w14:paraId="60AA60BE" w14:textId="3F8FD3D1" w:rsidR="00A40A10" w:rsidRPr="00F802DC" w:rsidRDefault="00A40A10" w:rsidP="00F802DC">
      <w:pPr>
        <w:pStyle w:val="Default"/>
        <w:spacing w:after="120"/>
        <w:jc w:val="both"/>
        <w:rPr>
          <w:rFonts w:asciiTheme="minorHAnsi" w:hAnsiTheme="minorHAnsi" w:cstheme="minorHAnsi"/>
        </w:rPr>
      </w:pPr>
      <w:r w:rsidRPr="00A40A10">
        <w:rPr>
          <w:rFonts w:ascii="Calibri" w:hAnsi="Calibri" w:cs="Calibri"/>
          <w:lang w:eastAsia="en-GB"/>
        </w:rPr>
        <w:t xml:space="preserve">BTPA </w:t>
      </w:r>
      <w:r>
        <w:rPr>
          <w:rFonts w:ascii="Calibri" w:hAnsi="Calibri" w:cs="Calibri"/>
          <w:lang w:eastAsia="en-GB"/>
        </w:rPr>
        <w:t xml:space="preserve">is </w:t>
      </w:r>
      <w:r w:rsidRPr="00A40A10">
        <w:rPr>
          <w:rFonts w:ascii="Calibri" w:hAnsi="Calibri" w:cs="Calibri"/>
          <w:lang w:eastAsia="en-GB"/>
        </w:rPr>
        <w:t xml:space="preserve">made up of </w:t>
      </w:r>
      <w:r w:rsidR="005E0BE3">
        <w:rPr>
          <w:rFonts w:ascii="Calibri" w:hAnsi="Calibri" w:cs="Calibri"/>
          <w:lang w:eastAsia="en-GB"/>
        </w:rPr>
        <w:t>up to seventeen</w:t>
      </w:r>
      <w:r w:rsidRPr="00A40A10">
        <w:rPr>
          <w:rFonts w:ascii="Calibri" w:hAnsi="Calibri" w:cs="Calibri"/>
          <w:lang w:eastAsia="en-GB"/>
        </w:rPr>
        <w:t xml:space="preserve"> Members appointed by the Department for Transport and supported by </w:t>
      </w:r>
      <w:r w:rsidR="00CC5106">
        <w:rPr>
          <w:rFonts w:ascii="Calibri" w:hAnsi="Calibri" w:cs="Calibri"/>
          <w:lang w:eastAsia="en-GB"/>
        </w:rPr>
        <w:t>the</w:t>
      </w:r>
      <w:r w:rsidRPr="00A40A10">
        <w:rPr>
          <w:rFonts w:ascii="Calibri" w:hAnsi="Calibri" w:cs="Calibri"/>
          <w:lang w:eastAsia="en-GB"/>
        </w:rPr>
        <w:t xml:space="preserve"> small Executive Team.  </w:t>
      </w:r>
      <w:r w:rsidR="003E75B0" w:rsidRPr="00677250">
        <w:rPr>
          <w:rFonts w:asciiTheme="minorHAnsi" w:hAnsiTheme="minorHAnsi" w:cstheme="minorHAnsi"/>
        </w:rPr>
        <w:t xml:space="preserve">The Executive </w:t>
      </w:r>
      <w:r w:rsidR="003E75B0">
        <w:rPr>
          <w:rFonts w:asciiTheme="minorHAnsi" w:hAnsiTheme="minorHAnsi" w:cstheme="minorHAnsi"/>
        </w:rPr>
        <w:t>T</w:t>
      </w:r>
      <w:r w:rsidR="003E75B0" w:rsidRPr="00677250">
        <w:rPr>
          <w:rFonts w:asciiTheme="minorHAnsi" w:hAnsiTheme="minorHAnsi" w:cstheme="minorHAnsi"/>
        </w:rPr>
        <w:t>eam is formed of a</w:t>
      </w:r>
      <w:r w:rsidR="003E75B0">
        <w:rPr>
          <w:rFonts w:asciiTheme="minorHAnsi" w:hAnsiTheme="minorHAnsi" w:cstheme="minorHAnsi"/>
        </w:rPr>
        <w:t xml:space="preserve"> small</w:t>
      </w:r>
      <w:r w:rsidR="003E75B0" w:rsidRPr="00677250">
        <w:rPr>
          <w:rFonts w:asciiTheme="minorHAnsi" w:hAnsiTheme="minorHAnsi" w:cstheme="minorHAnsi"/>
        </w:rPr>
        <w:t xml:space="preserve"> number of specialists in areas covering governance, finance, strategy, analysis, audit, and communications.</w:t>
      </w:r>
      <w:r w:rsidR="003E75B0">
        <w:rPr>
          <w:rFonts w:asciiTheme="minorHAnsi" w:hAnsiTheme="minorHAnsi" w:cstheme="minorHAnsi"/>
        </w:rPr>
        <w:t xml:space="preserve"> </w:t>
      </w:r>
      <w:r w:rsidR="00283B7E" w:rsidRPr="00677250">
        <w:rPr>
          <w:rFonts w:asciiTheme="minorHAnsi" w:hAnsiTheme="minorHAnsi" w:cstheme="minorHAnsi"/>
        </w:rPr>
        <w:t>The independence and calibre of this team in providing independent scrutiny, a second line of assurance, transparency and openness is critical to ensuring public confidence and accountability.</w:t>
      </w:r>
      <w:r w:rsidR="00283B7E">
        <w:rPr>
          <w:rFonts w:asciiTheme="minorHAnsi" w:hAnsiTheme="minorHAnsi" w:cstheme="minorHAnsi"/>
        </w:rPr>
        <w:t xml:space="preserve"> </w:t>
      </w:r>
      <w:r w:rsidR="0043375B">
        <w:rPr>
          <w:rFonts w:asciiTheme="minorHAnsi" w:hAnsiTheme="minorHAnsi" w:cstheme="minorHAnsi"/>
        </w:rPr>
        <w:t xml:space="preserve">The </w:t>
      </w:r>
      <w:r w:rsidRPr="00A40A10">
        <w:rPr>
          <w:rFonts w:ascii="Calibri" w:hAnsi="Calibri" w:cs="Calibri"/>
          <w:lang w:eastAsia="en-GB"/>
        </w:rPr>
        <w:t xml:space="preserve">Members provide knowledge and experience of issues that concern passengers, the railway industry, railway employees and the devolved nations. Its statutory duties include: </w:t>
      </w:r>
    </w:p>
    <w:p w14:paraId="034E4E84" w14:textId="77777777" w:rsidR="00A40A10" w:rsidRPr="00A40A10" w:rsidRDefault="00A40A10" w:rsidP="00341233">
      <w:pPr>
        <w:rPr>
          <w:rFonts w:ascii="Calibri" w:hAnsi="Calibri" w:cs="Calibri"/>
          <w:szCs w:val="24"/>
          <w:lang w:eastAsia="en-GB"/>
        </w:rPr>
      </w:pPr>
    </w:p>
    <w:p w14:paraId="6E26CA3C"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 xml:space="preserve">Securing the maintenance of an efficient and effective police force </w:t>
      </w:r>
    </w:p>
    <w:p w14:paraId="6129470C"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Ensuring the efficient and effective policing of the railways</w:t>
      </w:r>
    </w:p>
    <w:p w14:paraId="079793D2" w14:textId="15FB4624"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 xml:space="preserve">Appointing the Chief Constable, Deputy Chief Constable, Assistant Chief Constables, Directors of BTP and the Chief Executive and </w:t>
      </w:r>
      <w:r w:rsidR="00DE41B0">
        <w:rPr>
          <w:rFonts w:ascii="Calibri" w:hAnsi="Calibri" w:cs="Calibri"/>
          <w:szCs w:val="24"/>
        </w:rPr>
        <w:t>Chief Finance Officer/</w:t>
      </w:r>
      <w:r w:rsidRPr="00A40A10">
        <w:rPr>
          <w:rFonts w:ascii="Calibri" w:hAnsi="Calibri" w:cs="Calibri"/>
          <w:szCs w:val="24"/>
        </w:rPr>
        <w:t>Treasurer of BTPA</w:t>
      </w:r>
    </w:p>
    <w:p w14:paraId="5D0E8773"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Entering into Police Service Agreements with railway operators</w:t>
      </w:r>
    </w:p>
    <w:p w14:paraId="116F2E68"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 xml:space="preserve">Employing police constables, civilian </w:t>
      </w:r>
      <w:proofErr w:type="gramStart"/>
      <w:r w:rsidRPr="00A40A10">
        <w:rPr>
          <w:rFonts w:ascii="Calibri" w:hAnsi="Calibri" w:cs="Calibri"/>
          <w:szCs w:val="24"/>
        </w:rPr>
        <w:t>employees</w:t>
      </w:r>
      <w:proofErr w:type="gramEnd"/>
      <w:r w:rsidRPr="00A40A10">
        <w:rPr>
          <w:rFonts w:ascii="Calibri" w:hAnsi="Calibri" w:cs="Calibri"/>
          <w:szCs w:val="24"/>
        </w:rPr>
        <w:t xml:space="preserve"> and cadets</w:t>
      </w:r>
    </w:p>
    <w:p w14:paraId="71540746"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 xml:space="preserve">Regulating the government, </w:t>
      </w:r>
      <w:proofErr w:type="gramStart"/>
      <w:r w:rsidRPr="00A40A10">
        <w:rPr>
          <w:rFonts w:ascii="Calibri" w:hAnsi="Calibri" w:cs="Calibri"/>
          <w:szCs w:val="24"/>
        </w:rPr>
        <w:t>administration</w:t>
      </w:r>
      <w:proofErr w:type="gramEnd"/>
      <w:r w:rsidRPr="00A40A10">
        <w:rPr>
          <w:rFonts w:ascii="Calibri" w:hAnsi="Calibri" w:cs="Calibri"/>
          <w:szCs w:val="24"/>
        </w:rPr>
        <w:t xml:space="preserve"> and conditions of service of those employed by the Authority in the service of the police force</w:t>
      </w:r>
    </w:p>
    <w:p w14:paraId="3FA7EAD0"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Setting a strategy for policing the railway</w:t>
      </w:r>
    </w:p>
    <w:p w14:paraId="27E7F412"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Setting objectives for the policing of the railway</w:t>
      </w:r>
    </w:p>
    <w:p w14:paraId="088B2D76" w14:textId="77777777"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Issuing an annual Railways Policing Plan</w:t>
      </w:r>
    </w:p>
    <w:p w14:paraId="5E5BAFF4" w14:textId="654ED2CF" w:rsidR="00A40A10" w:rsidRPr="00A40A10" w:rsidRDefault="00A40A10" w:rsidP="00341233">
      <w:pPr>
        <w:numPr>
          <w:ilvl w:val="0"/>
          <w:numId w:val="27"/>
        </w:numPr>
        <w:tabs>
          <w:tab w:val="clear" w:pos="360"/>
          <w:tab w:val="num" w:pos="993"/>
        </w:tabs>
        <w:autoSpaceDE w:val="0"/>
        <w:autoSpaceDN w:val="0"/>
        <w:adjustRightInd w:val="0"/>
        <w:ind w:left="426" w:hanging="426"/>
        <w:jc w:val="both"/>
        <w:rPr>
          <w:rFonts w:ascii="Calibri" w:hAnsi="Calibri" w:cs="Calibri"/>
          <w:szCs w:val="24"/>
        </w:rPr>
      </w:pPr>
      <w:r w:rsidRPr="00A40A10">
        <w:rPr>
          <w:rFonts w:ascii="Calibri" w:hAnsi="Calibri" w:cs="Calibri"/>
          <w:szCs w:val="24"/>
        </w:rPr>
        <w:t>Setting the budget of expected income and expenditure for policing the railways each year</w:t>
      </w:r>
      <w:r w:rsidR="00BD3D59">
        <w:rPr>
          <w:rFonts w:ascii="Calibri" w:hAnsi="Calibri" w:cs="Calibri"/>
          <w:szCs w:val="24"/>
        </w:rPr>
        <w:t xml:space="preserve"> as well as</w:t>
      </w:r>
      <w:r w:rsidRPr="00A40A10">
        <w:rPr>
          <w:rFonts w:ascii="Calibri" w:hAnsi="Calibri" w:cs="Calibri"/>
          <w:szCs w:val="24"/>
        </w:rPr>
        <w:t xml:space="preserve"> defraying the expenses and recovering the cost</w:t>
      </w:r>
    </w:p>
    <w:p w14:paraId="5183BB39" w14:textId="77777777" w:rsidR="00146BB3" w:rsidRPr="00677250" w:rsidRDefault="00146BB3" w:rsidP="00341233">
      <w:pPr>
        <w:jc w:val="both"/>
        <w:rPr>
          <w:rFonts w:asciiTheme="minorHAnsi" w:hAnsiTheme="minorHAnsi" w:cstheme="minorHAnsi"/>
          <w:szCs w:val="24"/>
          <w:highlight w:val="yellow"/>
        </w:rPr>
      </w:pPr>
    </w:p>
    <w:p w14:paraId="45B2683A" w14:textId="77777777" w:rsidR="00146BB3" w:rsidRPr="00A40A10" w:rsidRDefault="00146BB3" w:rsidP="00341233">
      <w:pPr>
        <w:pStyle w:val="Itembody"/>
        <w:spacing w:line="240" w:lineRule="auto"/>
        <w:ind w:left="0"/>
        <w:jc w:val="both"/>
        <w:rPr>
          <w:rFonts w:asciiTheme="minorHAnsi" w:hAnsiTheme="minorHAnsi" w:cstheme="minorHAnsi"/>
          <w:color w:val="000000"/>
          <w:szCs w:val="24"/>
          <w:lang w:eastAsia="en-GB"/>
        </w:rPr>
      </w:pPr>
      <w:r w:rsidRPr="00A40A10">
        <w:rPr>
          <w:rFonts w:asciiTheme="minorHAnsi" w:eastAsia="Calibri" w:hAnsiTheme="minorHAnsi" w:cstheme="minorHAnsi"/>
          <w:color w:val="000000"/>
        </w:rPr>
        <w:t xml:space="preserve">BTPA is responsible for setting objectives for the BTP before the beginning of each financial year. The BTPA announces these objectives, as well as its strategic direction and performance review of the BTP through </w:t>
      </w:r>
      <w:proofErr w:type="gramStart"/>
      <w:r w:rsidRPr="00A40A10">
        <w:rPr>
          <w:rFonts w:asciiTheme="minorHAnsi" w:eastAsia="Calibri" w:hAnsiTheme="minorHAnsi" w:cstheme="minorHAnsi"/>
          <w:color w:val="000000"/>
        </w:rPr>
        <w:t>a number of</w:t>
      </w:r>
      <w:proofErr w:type="gramEnd"/>
      <w:r w:rsidRPr="00A40A10">
        <w:rPr>
          <w:rFonts w:asciiTheme="minorHAnsi" w:eastAsia="Calibri" w:hAnsiTheme="minorHAnsi" w:cstheme="minorHAnsi"/>
          <w:color w:val="000000"/>
        </w:rPr>
        <w:t xml:space="preserve"> publications:</w:t>
      </w:r>
    </w:p>
    <w:p w14:paraId="68554FD6" w14:textId="77777777" w:rsidR="00146BB3" w:rsidRPr="00A40A10" w:rsidRDefault="00146BB3" w:rsidP="00341233">
      <w:pPr>
        <w:pStyle w:val="NoSpacing"/>
        <w:jc w:val="both"/>
        <w:rPr>
          <w:rFonts w:asciiTheme="minorHAnsi" w:eastAsia="Calibri" w:hAnsiTheme="minorHAnsi" w:cstheme="minorHAnsi"/>
          <w:color w:val="FF0000"/>
          <w:sz w:val="24"/>
        </w:rPr>
      </w:pPr>
    </w:p>
    <w:p w14:paraId="2BE4AB9F" w14:textId="33792C8B" w:rsidR="00146BB3" w:rsidRPr="00A40A10" w:rsidRDefault="00146BB3" w:rsidP="00F802DC">
      <w:pPr>
        <w:numPr>
          <w:ilvl w:val="0"/>
          <w:numId w:val="27"/>
        </w:numPr>
        <w:tabs>
          <w:tab w:val="clear" w:pos="360"/>
          <w:tab w:val="num" w:pos="993"/>
        </w:tabs>
        <w:autoSpaceDE w:val="0"/>
        <w:autoSpaceDN w:val="0"/>
        <w:adjustRightInd w:val="0"/>
        <w:ind w:left="426" w:hanging="426"/>
        <w:jc w:val="both"/>
        <w:rPr>
          <w:rFonts w:asciiTheme="minorHAnsi" w:eastAsia="Calibri" w:hAnsiTheme="minorHAnsi" w:cstheme="minorHAnsi"/>
        </w:rPr>
      </w:pPr>
      <w:r w:rsidRPr="00A40A10">
        <w:rPr>
          <w:rFonts w:asciiTheme="minorHAnsi" w:eastAsia="Calibri" w:hAnsiTheme="minorHAnsi" w:cstheme="minorHAnsi"/>
        </w:rPr>
        <w:t xml:space="preserve">The </w:t>
      </w:r>
      <w:hyperlink r:id="rId11" w:history="1">
        <w:r w:rsidRPr="00A40A10">
          <w:rPr>
            <w:rStyle w:val="Hyperlink"/>
            <w:rFonts w:asciiTheme="minorHAnsi" w:eastAsia="Calibri" w:hAnsiTheme="minorHAnsi" w:cstheme="minorHAnsi"/>
          </w:rPr>
          <w:t xml:space="preserve">Strategic Plan </w:t>
        </w:r>
      </w:hyperlink>
      <w:r w:rsidRPr="00A40A10">
        <w:rPr>
          <w:rFonts w:asciiTheme="minorHAnsi" w:eastAsia="Calibri" w:hAnsiTheme="minorHAnsi" w:cstheme="minorHAnsi"/>
        </w:rPr>
        <w:t>sets out the BTPA’s medium-term and long-term strategies for policing the railways during that period; the latest plan covering 20</w:t>
      </w:r>
      <w:r w:rsidR="00A40A10" w:rsidRPr="00A40A10">
        <w:rPr>
          <w:rFonts w:asciiTheme="minorHAnsi" w:eastAsia="Calibri" w:hAnsiTheme="minorHAnsi" w:cstheme="minorHAnsi"/>
        </w:rPr>
        <w:t>22</w:t>
      </w:r>
      <w:r w:rsidRPr="00A40A10">
        <w:rPr>
          <w:rFonts w:asciiTheme="minorHAnsi" w:eastAsia="Calibri" w:hAnsiTheme="minorHAnsi" w:cstheme="minorHAnsi"/>
        </w:rPr>
        <w:t>-2</w:t>
      </w:r>
      <w:r w:rsidR="00A40A10" w:rsidRPr="00A40A10">
        <w:rPr>
          <w:rFonts w:asciiTheme="minorHAnsi" w:eastAsia="Calibri" w:hAnsiTheme="minorHAnsi" w:cstheme="minorHAnsi"/>
        </w:rPr>
        <w:t>5</w:t>
      </w:r>
      <w:r w:rsidRPr="00A40A10">
        <w:rPr>
          <w:rFonts w:asciiTheme="minorHAnsi" w:eastAsia="Calibri" w:hAnsiTheme="minorHAnsi" w:cstheme="minorHAnsi"/>
        </w:rPr>
        <w:t xml:space="preserve"> </w:t>
      </w:r>
      <w:r w:rsidR="00DE41B0">
        <w:rPr>
          <w:rFonts w:asciiTheme="minorHAnsi" w:eastAsia="Calibri" w:hAnsiTheme="minorHAnsi" w:cstheme="minorHAnsi"/>
        </w:rPr>
        <w:t>was</w:t>
      </w:r>
      <w:r w:rsidR="00A40A10">
        <w:rPr>
          <w:rFonts w:asciiTheme="minorHAnsi" w:eastAsia="Calibri" w:hAnsiTheme="minorHAnsi" w:cstheme="minorHAnsi"/>
        </w:rPr>
        <w:t xml:space="preserve"> </w:t>
      </w:r>
      <w:r w:rsidR="002E5B91">
        <w:rPr>
          <w:rFonts w:asciiTheme="minorHAnsi" w:eastAsia="Calibri" w:hAnsiTheme="minorHAnsi" w:cstheme="minorHAnsi"/>
        </w:rPr>
        <w:t xml:space="preserve"> </w:t>
      </w:r>
      <w:r w:rsidR="00A40A10">
        <w:rPr>
          <w:rFonts w:asciiTheme="minorHAnsi" w:eastAsia="Calibri" w:hAnsiTheme="minorHAnsi" w:cstheme="minorHAnsi"/>
        </w:rPr>
        <w:t xml:space="preserve"> launched in June</w:t>
      </w:r>
      <w:r w:rsidR="00D9780A">
        <w:rPr>
          <w:rFonts w:asciiTheme="minorHAnsi" w:eastAsia="Calibri" w:hAnsiTheme="minorHAnsi" w:cstheme="minorHAnsi"/>
        </w:rPr>
        <w:t xml:space="preserve"> 2022</w:t>
      </w:r>
      <w:r w:rsidRPr="00A40A10">
        <w:rPr>
          <w:rFonts w:asciiTheme="minorHAnsi" w:eastAsia="Calibri" w:hAnsiTheme="minorHAnsi" w:cstheme="minorHAnsi"/>
        </w:rPr>
        <w:t>.</w:t>
      </w:r>
    </w:p>
    <w:p w14:paraId="41CF2691" w14:textId="02A063B9" w:rsidR="00341233" w:rsidRPr="00A40A10" w:rsidRDefault="00A40A10" w:rsidP="00F802DC">
      <w:pPr>
        <w:numPr>
          <w:ilvl w:val="0"/>
          <w:numId w:val="27"/>
        </w:numPr>
        <w:tabs>
          <w:tab w:val="clear" w:pos="360"/>
          <w:tab w:val="num" w:pos="993"/>
        </w:tabs>
        <w:autoSpaceDE w:val="0"/>
        <w:autoSpaceDN w:val="0"/>
        <w:adjustRightInd w:val="0"/>
        <w:ind w:left="426" w:hanging="426"/>
        <w:jc w:val="both"/>
        <w:rPr>
          <w:rFonts w:asciiTheme="minorHAnsi" w:eastAsia="Calibri" w:hAnsiTheme="minorHAnsi" w:cstheme="minorHAnsi"/>
        </w:rPr>
      </w:pPr>
      <w:r>
        <w:rPr>
          <w:rFonts w:asciiTheme="minorHAnsi" w:eastAsia="Calibri" w:hAnsiTheme="minorHAnsi" w:cstheme="minorHAnsi"/>
        </w:rPr>
        <w:lastRenderedPageBreak/>
        <w:t>The</w:t>
      </w:r>
      <w:r w:rsidR="00146BB3" w:rsidRPr="00A40A10">
        <w:rPr>
          <w:rFonts w:asciiTheme="minorHAnsi" w:eastAsia="Calibri" w:hAnsiTheme="minorHAnsi" w:cstheme="minorHAnsi"/>
        </w:rPr>
        <w:t xml:space="preserve"> </w:t>
      </w:r>
      <w:r>
        <w:rPr>
          <w:rFonts w:asciiTheme="minorHAnsi" w:eastAsia="Calibri" w:hAnsiTheme="minorHAnsi" w:cstheme="minorHAnsi"/>
        </w:rPr>
        <w:t xml:space="preserve">national and local </w:t>
      </w:r>
      <w:hyperlink r:id="rId12" w:history="1">
        <w:r w:rsidR="00146BB3" w:rsidRPr="00A40A10">
          <w:rPr>
            <w:rStyle w:val="Hyperlink"/>
            <w:rFonts w:asciiTheme="minorHAnsi" w:eastAsia="Calibri" w:hAnsiTheme="minorHAnsi" w:cstheme="minorHAnsi"/>
          </w:rPr>
          <w:t>Policing Plan</w:t>
        </w:r>
        <w:r>
          <w:rPr>
            <w:rStyle w:val="Hyperlink"/>
            <w:rFonts w:asciiTheme="minorHAnsi" w:eastAsia="Calibri" w:hAnsiTheme="minorHAnsi" w:cstheme="minorHAnsi"/>
          </w:rPr>
          <w:t>s</w:t>
        </w:r>
        <w:r w:rsidR="00146BB3" w:rsidRPr="00A40A10">
          <w:rPr>
            <w:rStyle w:val="Hyperlink"/>
            <w:rFonts w:asciiTheme="minorHAnsi" w:eastAsia="Calibri" w:hAnsiTheme="minorHAnsi" w:cstheme="minorHAnsi"/>
          </w:rPr>
          <w:t xml:space="preserve"> </w:t>
        </w:r>
      </w:hyperlink>
      <w:r w:rsidR="00146BB3" w:rsidRPr="00A40A10">
        <w:rPr>
          <w:rFonts w:asciiTheme="minorHAnsi" w:eastAsia="Calibri" w:hAnsiTheme="minorHAnsi" w:cstheme="minorHAnsi"/>
        </w:rPr>
        <w:t>contain the BTPA’s priorities for the</w:t>
      </w:r>
      <w:r w:rsidRPr="00A40A10">
        <w:rPr>
          <w:rFonts w:asciiTheme="minorHAnsi" w:eastAsia="Calibri" w:hAnsiTheme="minorHAnsi" w:cstheme="minorHAnsi"/>
        </w:rPr>
        <w:t xml:space="preserve"> next three-</w:t>
      </w:r>
      <w:r w:rsidR="00146BB3" w:rsidRPr="00A40A10">
        <w:rPr>
          <w:rFonts w:asciiTheme="minorHAnsi" w:eastAsia="Calibri" w:hAnsiTheme="minorHAnsi" w:cstheme="minorHAnsi"/>
        </w:rPr>
        <w:t>year</w:t>
      </w:r>
      <w:r w:rsidRPr="00A40A10">
        <w:rPr>
          <w:rFonts w:asciiTheme="minorHAnsi" w:eastAsia="Calibri" w:hAnsiTheme="minorHAnsi" w:cstheme="minorHAnsi"/>
        </w:rPr>
        <w:t>s</w:t>
      </w:r>
      <w:r w:rsidR="00146BB3" w:rsidRPr="00A40A10">
        <w:rPr>
          <w:rFonts w:asciiTheme="minorHAnsi" w:eastAsia="Calibri" w:hAnsiTheme="minorHAnsi" w:cstheme="minorHAnsi"/>
        </w:rPr>
        <w:t>, the financial resources it expects to be available and how it proposes to allocate those resources.</w:t>
      </w:r>
      <w:r w:rsidRPr="00A40A10">
        <w:rPr>
          <w:rFonts w:asciiTheme="minorHAnsi" w:eastAsia="Calibri" w:hAnsiTheme="minorHAnsi" w:cstheme="minorHAnsi"/>
        </w:rPr>
        <w:t xml:space="preserve">  These plans</w:t>
      </w:r>
      <w:r w:rsidR="0043375B">
        <w:rPr>
          <w:rFonts w:asciiTheme="minorHAnsi" w:eastAsia="Calibri" w:hAnsiTheme="minorHAnsi" w:cstheme="minorHAnsi"/>
        </w:rPr>
        <w:t xml:space="preserve"> are</w:t>
      </w:r>
      <w:r w:rsidRPr="00A40A10">
        <w:rPr>
          <w:rFonts w:asciiTheme="minorHAnsi" w:eastAsia="Calibri" w:hAnsiTheme="minorHAnsi" w:cstheme="minorHAnsi"/>
        </w:rPr>
        <w:t xml:space="preserve"> reviewed and refreshed annually.</w:t>
      </w:r>
    </w:p>
    <w:p w14:paraId="437009D6" w14:textId="2CCEA491" w:rsidR="00146BB3" w:rsidRPr="00341233" w:rsidRDefault="003E75B0" w:rsidP="00F802DC">
      <w:pPr>
        <w:numPr>
          <w:ilvl w:val="0"/>
          <w:numId w:val="27"/>
        </w:numPr>
        <w:tabs>
          <w:tab w:val="clear" w:pos="360"/>
          <w:tab w:val="num" w:pos="993"/>
        </w:tabs>
        <w:autoSpaceDE w:val="0"/>
        <w:autoSpaceDN w:val="0"/>
        <w:adjustRightInd w:val="0"/>
        <w:ind w:left="426" w:hanging="426"/>
        <w:jc w:val="both"/>
        <w:rPr>
          <w:rFonts w:asciiTheme="minorHAnsi" w:eastAsia="Calibri" w:hAnsiTheme="minorHAnsi" w:cstheme="minorHAnsi"/>
        </w:rPr>
      </w:pPr>
      <w:r>
        <w:rPr>
          <w:rFonts w:asciiTheme="minorHAnsi" w:eastAsia="Calibri" w:hAnsiTheme="minorHAnsi" w:cstheme="minorHAnsi"/>
        </w:rPr>
        <w:t>T</w:t>
      </w:r>
      <w:r w:rsidR="00146BB3" w:rsidRPr="00341233">
        <w:rPr>
          <w:rFonts w:asciiTheme="minorHAnsi" w:eastAsia="Calibri" w:hAnsiTheme="minorHAnsi" w:cstheme="minorHAnsi"/>
        </w:rPr>
        <w:t xml:space="preserve">he </w:t>
      </w:r>
      <w:hyperlink r:id="rId13" w:history="1">
        <w:r w:rsidR="00146BB3" w:rsidRPr="00341233">
          <w:rPr>
            <w:rStyle w:val="Hyperlink"/>
            <w:rFonts w:asciiTheme="minorHAnsi" w:eastAsia="Calibri" w:hAnsiTheme="minorHAnsi" w:cstheme="minorHAnsi"/>
          </w:rPr>
          <w:t>Annual Report</w:t>
        </w:r>
        <w:r w:rsidR="009521DF" w:rsidRPr="00341233">
          <w:rPr>
            <w:rStyle w:val="Hyperlink"/>
            <w:rFonts w:asciiTheme="minorHAnsi" w:eastAsia="Calibri" w:hAnsiTheme="minorHAnsi" w:cstheme="minorHAnsi"/>
          </w:rPr>
          <w:t xml:space="preserve"> and Accounts</w:t>
        </w:r>
        <w:r w:rsidR="00146BB3" w:rsidRPr="00341233">
          <w:rPr>
            <w:rStyle w:val="Hyperlink"/>
            <w:rFonts w:asciiTheme="minorHAnsi" w:eastAsia="Calibri" w:hAnsiTheme="minorHAnsi" w:cstheme="minorHAnsi"/>
          </w:rPr>
          <w:t xml:space="preserve">, </w:t>
        </w:r>
      </w:hyperlink>
      <w:r w:rsidR="00146BB3" w:rsidRPr="00341233">
        <w:rPr>
          <w:rFonts w:asciiTheme="minorHAnsi" w:eastAsia="Calibri" w:hAnsiTheme="minorHAnsi" w:cstheme="minorHAnsi"/>
        </w:rPr>
        <w:t>published after the end of each financial year</w:t>
      </w:r>
      <w:bookmarkStart w:id="3" w:name="_Toc494811045"/>
      <w:r w:rsidR="00146BB3" w:rsidRPr="00341233">
        <w:rPr>
          <w:rFonts w:asciiTheme="minorHAnsi" w:eastAsia="Calibri" w:hAnsiTheme="minorHAnsi" w:cstheme="minorHAnsi"/>
        </w:rPr>
        <w:t xml:space="preserve">. </w:t>
      </w:r>
    </w:p>
    <w:p w14:paraId="4439B1B6" w14:textId="77777777" w:rsidR="00283B7E" w:rsidRPr="00677250" w:rsidRDefault="00283B7E" w:rsidP="00341233">
      <w:pPr>
        <w:pStyle w:val="BodyText1"/>
        <w:spacing w:line="240" w:lineRule="auto"/>
        <w:ind w:left="0"/>
        <w:jc w:val="both"/>
        <w:outlineLvl w:val="1"/>
        <w:rPr>
          <w:rFonts w:asciiTheme="minorHAnsi" w:hAnsiTheme="minorHAnsi" w:cstheme="minorHAnsi"/>
          <w:b/>
          <w:szCs w:val="24"/>
          <w:highlight w:val="yellow"/>
        </w:rPr>
      </w:pPr>
    </w:p>
    <w:p w14:paraId="624B4052" w14:textId="4BB5AFB5" w:rsidR="00181E6D" w:rsidRPr="00F802DC" w:rsidRDefault="00146BB3" w:rsidP="00F802DC">
      <w:pPr>
        <w:pStyle w:val="BodyText1"/>
        <w:spacing w:after="240" w:line="240" w:lineRule="auto"/>
        <w:ind w:left="0"/>
        <w:jc w:val="both"/>
        <w:outlineLvl w:val="0"/>
        <w:rPr>
          <w:rFonts w:asciiTheme="minorHAnsi" w:hAnsiTheme="minorHAnsi" w:cstheme="minorHAnsi"/>
          <w:b/>
          <w:color w:val="008080"/>
          <w:sz w:val="30"/>
          <w:szCs w:val="30"/>
        </w:rPr>
      </w:pPr>
      <w:bookmarkStart w:id="4" w:name="_Toc108001987"/>
      <w:r w:rsidRPr="00677250">
        <w:rPr>
          <w:rFonts w:asciiTheme="minorHAnsi" w:hAnsiTheme="minorHAnsi" w:cstheme="minorHAnsi"/>
          <w:b/>
          <w:color w:val="008080"/>
          <w:sz w:val="30"/>
          <w:szCs w:val="30"/>
        </w:rPr>
        <w:t>An Introduction to British Transport Police</w:t>
      </w:r>
      <w:bookmarkEnd w:id="3"/>
      <w:bookmarkEnd w:id="4"/>
    </w:p>
    <w:p w14:paraId="15A72D6B" w14:textId="56799C7E" w:rsidR="00A40A10" w:rsidRPr="00A40A10" w:rsidRDefault="00A40A10" w:rsidP="00DB533A">
      <w:pPr>
        <w:spacing w:after="240"/>
        <w:jc w:val="both"/>
        <w:rPr>
          <w:rStyle w:val="Itemreference"/>
          <w:rFonts w:ascii="Calibri" w:hAnsi="Calibri" w:cs="Calibri"/>
          <w:color w:val="auto"/>
          <w:szCs w:val="22"/>
        </w:rPr>
      </w:pPr>
      <w:r w:rsidRPr="00A40A10">
        <w:rPr>
          <w:rStyle w:val="Itemreference"/>
          <w:rFonts w:ascii="Calibri" w:hAnsi="Calibri" w:cs="Calibri"/>
          <w:color w:val="auto"/>
          <w:szCs w:val="22"/>
        </w:rPr>
        <w:t xml:space="preserve">As the specialist and dedicated police service for Britain’s railways, BTP’s work is wide reaching, providing an important service to all passenger and freight operators, Network Rail, their staff and customers across England, Scotland and Wales, as well as policing the London Underground, Docklands Light Railway, the Midland Metro Tram System, Croydon </w:t>
      </w:r>
      <w:proofErr w:type="spellStart"/>
      <w:r w:rsidRPr="00A40A10">
        <w:rPr>
          <w:rStyle w:val="Itemreference"/>
          <w:rFonts w:ascii="Calibri" w:hAnsi="Calibri" w:cs="Calibri"/>
          <w:color w:val="auto"/>
          <w:szCs w:val="22"/>
        </w:rPr>
        <w:t>Tramlink</w:t>
      </w:r>
      <w:proofErr w:type="spellEnd"/>
      <w:r w:rsidRPr="00A40A10">
        <w:rPr>
          <w:rStyle w:val="Itemreference"/>
          <w:rFonts w:ascii="Calibri" w:hAnsi="Calibri" w:cs="Calibri"/>
          <w:color w:val="auto"/>
          <w:szCs w:val="22"/>
        </w:rPr>
        <w:t>, Sunderland Metro and Glasgow Subway.</w:t>
      </w:r>
    </w:p>
    <w:p w14:paraId="49861A5E" w14:textId="218C6EA1" w:rsidR="00A40A10" w:rsidRPr="00A40A10" w:rsidRDefault="00A40A10" w:rsidP="00341233">
      <w:pPr>
        <w:pStyle w:val="Itembody"/>
        <w:spacing w:line="240" w:lineRule="auto"/>
        <w:ind w:left="0"/>
        <w:jc w:val="both"/>
        <w:rPr>
          <w:rStyle w:val="Itemreference"/>
          <w:rFonts w:ascii="Calibri" w:eastAsia="Calibri" w:hAnsi="Calibri" w:cs="Calibri"/>
          <w:color w:val="auto"/>
          <w:szCs w:val="22"/>
        </w:rPr>
      </w:pPr>
      <w:r w:rsidRPr="00A40A10">
        <w:rPr>
          <w:rStyle w:val="Itemreference"/>
          <w:rFonts w:ascii="Calibri" w:hAnsi="Calibri" w:cs="Calibri"/>
          <w:color w:val="auto"/>
          <w:szCs w:val="22"/>
        </w:rPr>
        <w:t xml:space="preserve">In delivering its increasingly challenging mandate, BTP must deliver value for money for its funders.  Working effectively and productively with a broad range of stakeholders, whether it is others in the policing family in England, Scotland and Wales, the rail industry, the Department for Transport, the devolved administrations in Scotland and Wales or the BTPA, which holds the Force to account, is essential.  </w:t>
      </w:r>
      <w:r w:rsidRPr="00A40A10">
        <w:rPr>
          <w:sz w:val="26"/>
          <w:szCs w:val="22"/>
        </w:rPr>
        <w:t xml:space="preserve"> </w:t>
      </w:r>
    </w:p>
    <w:p w14:paraId="38AE6057" w14:textId="77777777" w:rsidR="00A40A10" w:rsidRPr="00A40A10" w:rsidRDefault="00A40A10" w:rsidP="00341233">
      <w:pPr>
        <w:pStyle w:val="Itembody"/>
        <w:spacing w:line="240" w:lineRule="auto"/>
        <w:ind w:left="0"/>
        <w:jc w:val="both"/>
        <w:rPr>
          <w:rStyle w:val="Itemreference"/>
          <w:rFonts w:ascii="Calibri" w:eastAsia="Calibri" w:hAnsi="Calibri" w:cs="Calibri"/>
          <w:color w:val="auto"/>
          <w:szCs w:val="22"/>
        </w:rPr>
      </w:pPr>
    </w:p>
    <w:p w14:paraId="14B2BB6E" w14:textId="0587F877" w:rsidR="00A40A10" w:rsidRPr="00A40A10" w:rsidRDefault="00A40A10" w:rsidP="00341233">
      <w:pPr>
        <w:pStyle w:val="Itembody"/>
        <w:spacing w:line="240" w:lineRule="auto"/>
        <w:ind w:left="0"/>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 xml:space="preserve">Whilst the focus on minimising crime and disruption on the railways is unwavering, BTP is working hard to tackle terrorism, improve its approach to safeguarding and operate in an even more flexible and responsive way.  This is all alongside working with the rail industry to look at the future of policing and security </w:t>
      </w:r>
      <w:r w:rsidR="00952E2C">
        <w:rPr>
          <w:rStyle w:val="Itemreference"/>
          <w:rFonts w:ascii="Calibri" w:eastAsia="Calibri" w:hAnsi="Calibri" w:cs="Calibri"/>
          <w:color w:val="auto"/>
          <w:szCs w:val="22"/>
        </w:rPr>
        <w:t>under any rail reform model</w:t>
      </w:r>
      <w:r w:rsidRPr="00A40A10">
        <w:rPr>
          <w:rStyle w:val="Itemreference"/>
          <w:rFonts w:ascii="Calibri" w:eastAsia="Calibri" w:hAnsi="Calibri" w:cs="Calibri"/>
          <w:color w:val="auto"/>
          <w:szCs w:val="22"/>
        </w:rPr>
        <w:t xml:space="preserve">.  BTP/A are leading the conversation on the shape of policing and security for the nation’s railways in the future, recognising that the landscape is changing, technology is advancing and the challenges to keep the railways safe are evolving.  BTP has developed it’s a ‘Force on the </w:t>
      </w:r>
      <w:r w:rsidR="00597ED5">
        <w:rPr>
          <w:rStyle w:val="Itemreference"/>
          <w:rFonts w:ascii="Calibri" w:eastAsia="Calibri" w:hAnsi="Calibri" w:cs="Calibri"/>
          <w:color w:val="auto"/>
          <w:szCs w:val="22"/>
        </w:rPr>
        <w:t>M</w:t>
      </w:r>
      <w:r w:rsidRPr="00A40A10">
        <w:rPr>
          <w:rStyle w:val="Itemreference"/>
          <w:rFonts w:ascii="Calibri" w:eastAsia="Calibri" w:hAnsi="Calibri" w:cs="Calibri"/>
          <w:color w:val="auto"/>
          <w:szCs w:val="22"/>
        </w:rPr>
        <w:t>ove’ change programme to drive this work aiming to increase its sphere of influence in rail and beyond by ensuring BTP is recognised for its specialist skills and the value it adds through:</w:t>
      </w:r>
    </w:p>
    <w:p w14:paraId="27CD2BED" w14:textId="77777777" w:rsidR="00A40A10" w:rsidRPr="00A40A10" w:rsidRDefault="00A40A10" w:rsidP="00341233">
      <w:pPr>
        <w:pStyle w:val="Itembody"/>
        <w:spacing w:line="240" w:lineRule="auto"/>
        <w:ind w:left="0"/>
        <w:jc w:val="both"/>
        <w:rPr>
          <w:rStyle w:val="Itemreference"/>
          <w:rFonts w:ascii="Calibri" w:eastAsia="Calibri" w:hAnsi="Calibri" w:cs="Calibri"/>
          <w:szCs w:val="22"/>
        </w:rPr>
      </w:pPr>
    </w:p>
    <w:p w14:paraId="051AE916" w14:textId="77777777" w:rsidR="00A40A10" w:rsidRPr="00A40A10" w:rsidRDefault="00A40A10" w:rsidP="00341233">
      <w:pPr>
        <w:pStyle w:val="Itembody"/>
        <w:numPr>
          <w:ilvl w:val="0"/>
          <w:numId w:val="28"/>
        </w:numPr>
        <w:spacing w:line="240" w:lineRule="auto"/>
        <w:ind w:left="426" w:hanging="426"/>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Being focused on the future</w:t>
      </w:r>
    </w:p>
    <w:p w14:paraId="746C9721" w14:textId="77777777" w:rsidR="00A40A10" w:rsidRPr="00A40A10" w:rsidRDefault="00A40A10" w:rsidP="00341233">
      <w:pPr>
        <w:pStyle w:val="Itembody"/>
        <w:numPr>
          <w:ilvl w:val="0"/>
          <w:numId w:val="28"/>
        </w:numPr>
        <w:spacing w:line="240" w:lineRule="auto"/>
        <w:ind w:left="426" w:hanging="426"/>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Becoming a modern and inclusive workplace</w:t>
      </w:r>
    </w:p>
    <w:p w14:paraId="04EEB84A" w14:textId="77777777" w:rsidR="00A40A10" w:rsidRPr="00A40A10" w:rsidRDefault="00A40A10" w:rsidP="00341233">
      <w:pPr>
        <w:pStyle w:val="Itembody"/>
        <w:numPr>
          <w:ilvl w:val="0"/>
          <w:numId w:val="28"/>
        </w:numPr>
        <w:spacing w:line="240" w:lineRule="auto"/>
        <w:ind w:left="426" w:hanging="426"/>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Optimising service delivery</w:t>
      </w:r>
    </w:p>
    <w:p w14:paraId="5520A68E" w14:textId="77777777" w:rsidR="00A40A10" w:rsidRPr="00A40A10" w:rsidRDefault="00A40A10" w:rsidP="00341233">
      <w:pPr>
        <w:pStyle w:val="Itembody"/>
        <w:numPr>
          <w:ilvl w:val="0"/>
          <w:numId w:val="28"/>
        </w:numPr>
        <w:spacing w:line="240" w:lineRule="auto"/>
        <w:ind w:left="426" w:hanging="426"/>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Pioneering a new generation of partnerships</w:t>
      </w:r>
    </w:p>
    <w:p w14:paraId="60A26DDA" w14:textId="77777777" w:rsidR="00A40A10" w:rsidRPr="00A40A10" w:rsidRDefault="00A40A10" w:rsidP="00341233">
      <w:pPr>
        <w:pStyle w:val="Itembody"/>
        <w:spacing w:line="240" w:lineRule="auto"/>
        <w:ind w:left="0"/>
        <w:jc w:val="both"/>
        <w:rPr>
          <w:rStyle w:val="Itemreference"/>
          <w:rFonts w:ascii="Calibri" w:eastAsia="Calibri" w:hAnsi="Calibri" w:cs="Calibri"/>
          <w:color w:val="auto"/>
          <w:szCs w:val="22"/>
        </w:rPr>
      </w:pPr>
    </w:p>
    <w:p w14:paraId="228901CF" w14:textId="218277A0" w:rsidR="00146BB3" w:rsidRDefault="00146BB3" w:rsidP="00341233">
      <w:pPr>
        <w:autoSpaceDE w:val="0"/>
        <w:autoSpaceDN w:val="0"/>
        <w:adjustRightInd w:val="0"/>
        <w:jc w:val="both"/>
        <w:rPr>
          <w:rFonts w:ascii="Calibri" w:hAnsi="Calibri" w:cs="Calibri"/>
          <w:color w:val="000000"/>
          <w:szCs w:val="24"/>
          <w:lang w:eastAsia="en-GB"/>
        </w:rPr>
      </w:pPr>
      <w:r w:rsidRPr="00A40A10">
        <w:rPr>
          <w:rFonts w:ascii="Calibri" w:hAnsi="Calibri" w:cs="Calibri"/>
          <w:color w:val="000000"/>
          <w:szCs w:val="24"/>
          <w:lang w:eastAsia="en-GB"/>
        </w:rPr>
        <w:t xml:space="preserve">Unlike Home Office police services, BTP is accountable to the BTPA, falling under the remit of the Secretary of State for Transport, rather than the Home Secretary, as it is for forces in England and Wales, or the Cabinet Secretary for Justice, for those in Scotland. Furthermore, BTP is substantially funded by train companies as well as by Network Rail and Transport for London, and it must operate efficiently, delivering a high-quality, responsive service across an expanding network at a cost which delivers recognisable value for money for funders. </w:t>
      </w:r>
    </w:p>
    <w:p w14:paraId="2533FF4E" w14:textId="56D6266E" w:rsidR="00B324E0" w:rsidRDefault="00B324E0" w:rsidP="00341233">
      <w:pPr>
        <w:autoSpaceDE w:val="0"/>
        <w:autoSpaceDN w:val="0"/>
        <w:adjustRightInd w:val="0"/>
        <w:jc w:val="both"/>
        <w:rPr>
          <w:rFonts w:ascii="Calibri" w:hAnsi="Calibri" w:cs="Calibri"/>
          <w:color w:val="000000"/>
          <w:szCs w:val="24"/>
          <w:lang w:eastAsia="en-GB"/>
        </w:rPr>
      </w:pPr>
    </w:p>
    <w:p w14:paraId="708D34A8" w14:textId="5C87C9C1" w:rsidR="00B324E0" w:rsidRPr="00BF5F39" w:rsidRDefault="00BF5F39" w:rsidP="00341233">
      <w:pPr>
        <w:pStyle w:val="Itembody"/>
        <w:spacing w:line="240" w:lineRule="auto"/>
        <w:ind w:left="0"/>
        <w:jc w:val="both"/>
        <w:rPr>
          <w:rFonts w:ascii="Calibri" w:hAnsi="Calibri" w:cs="Calibri"/>
          <w:szCs w:val="24"/>
          <w:lang w:eastAsia="en-GB"/>
        </w:rPr>
      </w:pPr>
      <w:r w:rsidRPr="00A40A10">
        <w:rPr>
          <w:rFonts w:ascii="Calibri" w:hAnsi="Calibri" w:cs="Calibri"/>
          <w:szCs w:val="24"/>
          <w:lang w:eastAsia="en-GB"/>
        </w:rPr>
        <w:t xml:space="preserve">BTP currently has an overall revenue budget of </w:t>
      </w:r>
      <w:r w:rsidRPr="00580966">
        <w:rPr>
          <w:rFonts w:ascii="Calibri" w:hAnsi="Calibri" w:cs="Calibri"/>
          <w:szCs w:val="24"/>
          <w:lang w:eastAsia="en-GB"/>
        </w:rPr>
        <w:t>circa £3</w:t>
      </w:r>
      <w:r w:rsidR="003E75B0">
        <w:rPr>
          <w:rFonts w:ascii="Calibri" w:hAnsi="Calibri" w:cs="Calibri"/>
          <w:szCs w:val="24"/>
          <w:lang w:eastAsia="en-GB"/>
        </w:rPr>
        <w:t>65</w:t>
      </w:r>
      <w:r>
        <w:rPr>
          <w:rFonts w:ascii="Calibri" w:hAnsi="Calibri" w:cs="Calibri"/>
          <w:szCs w:val="24"/>
          <w:lang w:eastAsia="en-GB"/>
        </w:rPr>
        <w:t>.</w:t>
      </w:r>
      <w:r w:rsidR="003E75B0">
        <w:rPr>
          <w:rFonts w:ascii="Calibri" w:hAnsi="Calibri" w:cs="Calibri"/>
          <w:szCs w:val="24"/>
          <w:lang w:eastAsia="en-GB"/>
        </w:rPr>
        <w:t>3</w:t>
      </w:r>
      <w:r w:rsidRPr="00580966">
        <w:rPr>
          <w:rFonts w:ascii="Calibri" w:hAnsi="Calibri" w:cs="Calibri"/>
          <w:szCs w:val="24"/>
          <w:lang w:eastAsia="en-GB"/>
        </w:rPr>
        <w:t>m,</w:t>
      </w:r>
      <w:r w:rsidRPr="00A40A10">
        <w:rPr>
          <w:rFonts w:ascii="Calibri" w:hAnsi="Calibri" w:cs="Calibri"/>
          <w:szCs w:val="24"/>
          <w:lang w:eastAsia="en-GB"/>
        </w:rPr>
        <w:t xml:space="preserve"> which is subject to approval by the BTPA</w:t>
      </w:r>
      <w:r>
        <w:rPr>
          <w:rFonts w:ascii="Calibri" w:hAnsi="Calibri" w:cs="Calibri"/>
          <w:szCs w:val="24"/>
          <w:lang w:eastAsia="en-GB"/>
        </w:rPr>
        <w:t>.</w:t>
      </w:r>
      <w:r w:rsidRPr="00A40A10">
        <w:rPr>
          <w:rFonts w:ascii="Calibri" w:hAnsi="Calibri" w:cs="Calibri"/>
          <w:szCs w:val="24"/>
          <w:lang w:eastAsia="en-GB"/>
        </w:rPr>
        <w:t xml:space="preserve"> </w:t>
      </w:r>
      <w:r>
        <w:rPr>
          <w:rFonts w:ascii="Calibri" w:hAnsi="Calibri" w:cs="Calibri"/>
          <w:szCs w:val="24"/>
          <w:lang w:eastAsia="en-GB"/>
        </w:rPr>
        <w:t xml:space="preserve"> </w:t>
      </w:r>
      <w:r w:rsidR="00B324E0">
        <w:rPr>
          <w:rFonts w:ascii="Calibri" w:hAnsi="Calibri" w:cs="Calibri"/>
          <w:color w:val="000000"/>
          <w:szCs w:val="24"/>
          <w:lang w:eastAsia="en-GB"/>
        </w:rPr>
        <w:t xml:space="preserve">BTP currently has </w:t>
      </w:r>
      <w:r w:rsidR="00C8321F">
        <w:rPr>
          <w:rFonts w:ascii="Calibri" w:hAnsi="Calibri" w:cs="Calibri"/>
          <w:szCs w:val="24"/>
          <w:lang w:eastAsia="en-GB"/>
        </w:rPr>
        <w:t xml:space="preserve">a mix of </w:t>
      </w:r>
      <w:r w:rsidR="00B324E0" w:rsidRPr="00A40A10">
        <w:rPr>
          <w:rFonts w:ascii="Calibri" w:hAnsi="Calibri" w:cs="Calibri"/>
          <w:szCs w:val="24"/>
          <w:lang w:eastAsia="en-GB"/>
        </w:rPr>
        <w:t>police officers, special officers, PCSOs and civilian staff all of whom are employees of the BTPA as the legal entity.</w:t>
      </w:r>
    </w:p>
    <w:p w14:paraId="7D172D33" w14:textId="2767606F" w:rsidR="00146BB3" w:rsidRDefault="00146BB3" w:rsidP="00341233">
      <w:pPr>
        <w:autoSpaceDE w:val="0"/>
        <w:autoSpaceDN w:val="0"/>
        <w:adjustRightInd w:val="0"/>
        <w:jc w:val="both"/>
        <w:rPr>
          <w:rFonts w:ascii="Calibri" w:hAnsi="Calibri" w:cs="Calibri"/>
          <w:color w:val="000000"/>
          <w:szCs w:val="24"/>
          <w:lang w:eastAsia="en-GB"/>
        </w:rPr>
      </w:pPr>
    </w:p>
    <w:p w14:paraId="7AA395CC" w14:textId="70B6A094" w:rsidR="00283B7E" w:rsidRDefault="00283B7E" w:rsidP="00283B7E">
      <w:pPr>
        <w:rPr>
          <w:lang w:eastAsia="en-GB"/>
        </w:rPr>
      </w:pPr>
      <w:bookmarkStart w:id="5" w:name="_Toc108001988"/>
    </w:p>
    <w:p w14:paraId="686EB740" w14:textId="77777777" w:rsidR="00283B7E" w:rsidRPr="00F802DC" w:rsidRDefault="00283B7E" w:rsidP="00F802DC">
      <w:pPr>
        <w:rPr>
          <w:lang w:eastAsia="en-GB"/>
        </w:rPr>
      </w:pPr>
    </w:p>
    <w:p w14:paraId="63694141" w14:textId="03BC6CEF" w:rsidR="00BF5F39" w:rsidRDefault="00B324E0" w:rsidP="00F802DC">
      <w:pPr>
        <w:pStyle w:val="Heading1"/>
        <w:ind w:left="0"/>
        <w:rPr>
          <w:lang w:eastAsia="en-GB"/>
        </w:rPr>
      </w:pPr>
      <w:r w:rsidRPr="00B324E0">
        <w:rPr>
          <w:rFonts w:ascii="Calibri" w:hAnsi="Calibri" w:cs="Calibri"/>
          <w:sz w:val="30"/>
          <w:szCs w:val="30"/>
          <w:lang w:eastAsia="en-GB"/>
        </w:rPr>
        <w:lastRenderedPageBreak/>
        <w:t>The BTP Fund</w:t>
      </w:r>
      <w:bookmarkEnd w:id="5"/>
    </w:p>
    <w:p w14:paraId="25632001" w14:textId="12FD645A" w:rsidR="00341233" w:rsidRDefault="00BF5F39" w:rsidP="00531EA6">
      <w:pPr>
        <w:pStyle w:val="Itembody"/>
        <w:spacing w:line="240" w:lineRule="auto"/>
        <w:ind w:left="0"/>
        <w:jc w:val="both"/>
        <w:rPr>
          <w:rFonts w:ascii="Calibri" w:hAnsi="Calibri" w:cs="Calibri"/>
          <w:color w:val="000000"/>
          <w:szCs w:val="24"/>
          <w:lang w:eastAsia="en-GB"/>
        </w:rPr>
      </w:pPr>
      <w:r w:rsidRPr="00593BED">
        <w:rPr>
          <w:rFonts w:ascii="Calibri" w:hAnsi="Calibri" w:cs="Calibri"/>
          <w:color w:val="000000"/>
          <w:szCs w:val="24"/>
          <w:lang w:eastAsia="en-GB"/>
        </w:rPr>
        <w:t xml:space="preserve">BTPA is responsible for setting the </w:t>
      </w:r>
      <w:r w:rsidR="002E5B91">
        <w:rPr>
          <w:rFonts w:ascii="Calibri" w:hAnsi="Calibri" w:cs="Calibri"/>
          <w:color w:val="000000"/>
          <w:szCs w:val="24"/>
          <w:lang w:eastAsia="en-GB"/>
        </w:rPr>
        <w:t xml:space="preserve">expenditure </w:t>
      </w:r>
      <w:r w:rsidRPr="00593BED">
        <w:rPr>
          <w:rFonts w:ascii="Calibri" w:hAnsi="Calibri" w:cs="Calibri"/>
          <w:color w:val="000000"/>
          <w:szCs w:val="24"/>
          <w:lang w:eastAsia="en-GB"/>
        </w:rPr>
        <w:t>budget and raising income under the terms of Police Services Agreements with industry partners, both for itself and for BTP. BTPA is also responsible for its own administration and expenditure. BTP has a large degree of autonomy in the spending of the budget given to it by BTPA, and full independence in policing matters, but it is the role of BTPA to exercise appropriate oversight of the Force, particularly in matters of financial and corporate governance.</w:t>
      </w:r>
    </w:p>
    <w:p w14:paraId="40AD1CD6" w14:textId="77777777" w:rsidR="00341233" w:rsidRPr="00593BED" w:rsidRDefault="00341233" w:rsidP="00341233">
      <w:pPr>
        <w:pStyle w:val="Itembody"/>
        <w:spacing w:line="240" w:lineRule="auto"/>
        <w:ind w:left="0"/>
        <w:jc w:val="both"/>
        <w:rPr>
          <w:rFonts w:ascii="Calibri" w:hAnsi="Calibri" w:cs="Calibri"/>
          <w:color w:val="000000"/>
          <w:szCs w:val="24"/>
          <w:lang w:eastAsia="en-GB"/>
        </w:rPr>
      </w:pPr>
    </w:p>
    <w:p w14:paraId="111A6896" w14:textId="4BE393D4" w:rsidR="00BF5F39" w:rsidRPr="00593BED" w:rsidRDefault="00BF5F39" w:rsidP="00341233">
      <w:pPr>
        <w:pStyle w:val="Itembody"/>
        <w:spacing w:line="240" w:lineRule="auto"/>
        <w:ind w:left="0"/>
        <w:jc w:val="both"/>
        <w:rPr>
          <w:rFonts w:ascii="Calibri" w:hAnsi="Calibri" w:cs="Calibri"/>
          <w:color w:val="000000"/>
          <w:szCs w:val="24"/>
          <w:lang w:eastAsia="en-GB"/>
        </w:rPr>
      </w:pPr>
      <w:r w:rsidRPr="00593BED">
        <w:rPr>
          <w:rFonts w:ascii="Calibri" w:hAnsi="Calibri" w:cs="Calibri"/>
          <w:color w:val="000000"/>
          <w:szCs w:val="24"/>
          <w:lang w:eastAsia="en-GB"/>
        </w:rPr>
        <w:t>A single fund exists known as the BTP Fund into which all income is paid and from which all expenditure is made.</w:t>
      </w:r>
      <w:r w:rsidR="003E75B0">
        <w:rPr>
          <w:rFonts w:ascii="Calibri" w:hAnsi="Calibri" w:cs="Calibri"/>
          <w:color w:val="000000"/>
          <w:szCs w:val="24"/>
          <w:lang w:eastAsia="en-GB"/>
        </w:rPr>
        <w:t xml:space="preserve"> </w:t>
      </w:r>
      <w:r w:rsidRPr="00593BED">
        <w:rPr>
          <w:rFonts w:ascii="Calibri" w:hAnsi="Calibri" w:cs="Calibri"/>
          <w:color w:val="000000"/>
          <w:szCs w:val="24"/>
          <w:lang w:eastAsia="en-GB"/>
        </w:rPr>
        <w:t>The Chief Executive of the Authority is the Accounting Officer of the Fund</w:t>
      </w:r>
      <w:r w:rsidR="002E5B91">
        <w:rPr>
          <w:rFonts w:ascii="Calibri" w:hAnsi="Calibri" w:cs="Calibri"/>
          <w:color w:val="000000"/>
          <w:szCs w:val="24"/>
          <w:lang w:eastAsia="en-GB"/>
        </w:rPr>
        <w:t xml:space="preserve"> and the Chief Finance Officer</w:t>
      </w:r>
      <w:r w:rsidR="0043375B">
        <w:rPr>
          <w:rFonts w:ascii="Calibri" w:hAnsi="Calibri" w:cs="Calibri"/>
          <w:color w:val="000000"/>
          <w:szCs w:val="24"/>
          <w:lang w:eastAsia="en-GB"/>
        </w:rPr>
        <w:t xml:space="preserve"> (CFO) </w:t>
      </w:r>
      <w:r w:rsidR="002E5B91">
        <w:rPr>
          <w:rFonts w:ascii="Calibri" w:hAnsi="Calibri" w:cs="Calibri"/>
          <w:color w:val="000000"/>
          <w:szCs w:val="24"/>
          <w:lang w:eastAsia="en-GB"/>
        </w:rPr>
        <w:t>is the Treasurer</w:t>
      </w:r>
      <w:r w:rsidRPr="00593BED">
        <w:rPr>
          <w:rFonts w:ascii="Calibri" w:hAnsi="Calibri" w:cs="Calibri"/>
          <w:color w:val="000000"/>
          <w:szCs w:val="24"/>
          <w:lang w:eastAsia="en-GB"/>
        </w:rPr>
        <w:t xml:space="preserve">. The Chief Constable is an additional </w:t>
      </w:r>
      <w:r w:rsidR="002E5B91">
        <w:rPr>
          <w:rFonts w:ascii="Calibri" w:hAnsi="Calibri" w:cs="Calibri"/>
          <w:color w:val="000000"/>
          <w:szCs w:val="24"/>
          <w:lang w:eastAsia="en-GB"/>
        </w:rPr>
        <w:t>A</w:t>
      </w:r>
      <w:r w:rsidRPr="00593BED">
        <w:rPr>
          <w:rFonts w:ascii="Calibri" w:hAnsi="Calibri" w:cs="Calibri"/>
          <w:color w:val="000000"/>
          <w:szCs w:val="24"/>
          <w:lang w:eastAsia="en-GB"/>
        </w:rPr>
        <w:t xml:space="preserve">ccounting </w:t>
      </w:r>
      <w:r w:rsidR="002E5B91">
        <w:rPr>
          <w:rFonts w:ascii="Calibri" w:hAnsi="Calibri" w:cs="Calibri"/>
          <w:color w:val="000000"/>
          <w:szCs w:val="24"/>
          <w:lang w:eastAsia="en-GB"/>
        </w:rPr>
        <w:t>O</w:t>
      </w:r>
      <w:r w:rsidRPr="00593BED">
        <w:rPr>
          <w:rFonts w:ascii="Calibri" w:hAnsi="Calibri" w:cs="Calibri"/>
          <w:color w:val="000000"/>
          <w:szCs w:val="24"/>
          <w:lang w:eastAsia="en-GB"/>
        </w:rPr>
        <w:t xml:space="preserve">fficer and is responsible for the resources under her control.  A clear description of responsibilities can be found in Annex 6 of the Authority’s </w:t>
      </w:r>
      <w:hyperlink r:id="rId14" w:history="1">
        <w:r w:rsidRPr="007D3293">
          <w:rPr>
            <w:rStyle w:val="Hyperlink"/>
            <w:rFonts w:ascii="Calibri" w:hAnsi="Calibri" w:cs="Calibri"/>
            <w:szCs w:val="24"/>
            <w:lang w:eastAsia="en-GB"/>
          </w:rPr>
          <w:t>Code of Governance</w:t>
        </w:r>
      </w:hyperlink>
      <w:r w:rsidRPr="00593BED">
        <w:rPr>
          <w:rFonts w:ascii="Calibri" w:hAnsi="Calibri" w:cs="Calibri"/>
          <w:color w:val="000000"/>
          <w:szCs w:val="24"/>
          <w:lang w:eastAsia="en-GB"/>
        </w:rPr>
        <w:t>.</w:t>
      </w:r>
    </w:p>
    <w:p w14:paraId="35DFE91C" w14:textId="77777777" w:rsidR="00BF5F39" w:rsidRDefault="00BF5F39" w:rsidP="00BF5F39">
      <w:pPr>
        <w:pStyle w:val="Itembody"/>
        <w:spacing w:line="240" w:lineRule="auto"/>
        <w:jc w:val="both"/>
        <w:rPr>
          <w:rFonts w:ascii="Calibri" w:hAnsi="Calibri" w:cs="Calibri"/>
          <w:szCs w:val="24"/>
          <w:lang w:eastAsia="en-GB"/>
        </w:rPr>
      </w:pPr>
    </w:p>
    <w:p w14:paraId="33854EED" w14:textId="08503401" w:rsidR="00BF5F39" w:rsidRPr="00BF5F39" w:rsidRDefault="00BF5F39" w:rsidP="00BF5F39">
      <w:pPr>
        <w:pStyle w:val="Itembody"/>
        <w:spacing w:line="240" w:lineRule="auto"/>
        <w:jc w:val="both"/>
        <w:rPr>
          <w:rFonts w:asciiTheme="minorHAnsi" w:hAnsiTheme="minorHAnsi" w:cstheme="minorHAnsi"/>
          <w:color w:val="008080"/>
          <w:sz w:val="26"/>
          <w:szCs w:val="26"/>
        </w:rPr>
      </w:pPr>
    </w:p>
    <w:p w14:paraId="1427CCB8" w14:textId="77777777" w:rsidR="00BF5F39" w:rsidRPr="00BF5F39" w:rsidRDefault="00BF5F39" w:rsidP="00BF5F39">
      <w:pPr>
        <w:rPr>
          <w:highlight w:val="yellow"/>
        </w:rPr>
      </w:pPr>
    </w:p>
    <w:p w14:paraId="0AB2FE1F" w14:textId="77777777" w:rsidR="00BF5F39" w:rsidRDefault="00BF5F39" w:rsidP="00146BB3">
      <w:pPr>
        <w:pStyle w:val="Heading1"/>
        <w:rPr>
          <w:rStyle w:val="Itemreference"/>
          <w:rFonts w:asciiTheme="minorHAnsi" w:hAnsiTheme="minorHAnsi" w:cstheme="minorHAnsi"/>
          <w:color w:val="31849B"/>
          <w:sz w:val="30"/>
          <w:szCs w:val="30"/>
          <w:highlight w:val="yellow"/>
        </w:rPr>
      </w:pPr>
    </w:p>
    <w:p w14:paraId="7C466816" w14:textId="62E7BD03" w:rsidR="00146BB3" w:rsidRPr="00677250" w:rsidRDefault="00146BB3" w:rsidP="00341233">
      <w:pPr>
        <w:pStyle w:val="Heading1"/>
        <w:ind w:left="0"/>
        <w:rPr>
          <w:rStyle w:val="Itemreference"/>
          <w:rFonts w:asciiTheme="minorHAnsi" w:hAnsiTheme="minorHAnsi" w:cstheme="minorHAnsi"/>
          <w:color w:val="31849B"/>
          <w:sz w:val="30"/>
          <w:szCs w:val="30"/>
        </w:rPr>
      </w:pPr>
      <w:r w:rsidRPr="00677250">
        <w:rPr>
          <w:rStyle w:val="Itemreference"/>
          <w:rFonts w:asciiTheme="minorHAnsi" w:hAnsiTheme="minorHAnsi" w:cstheme="minorHAnsi"/>
          <w:color w:val="31849B"/>
          <w:sz w:val="30"/>
          <w:szCs w:val="30"/>
          <w:highlight w:val="yellow"/>
        </w:rPr>
        <w:br w:type="page"/>
      </w:r>
      <w:bookmarkStart w:id="6" w:name="_Toc108001989"/>
      <w:r w:rsidR="006D5DC9" w:rsidRPr="00677250">
        <w:rPr>
          <w:rStyle w:val="Itemreference"/>
          <w:rFonts w:asciiTheme="minorHAnsi" w:hAnsiTheme="minorHAnsi" w:cstheme="minorHAnsi"/>
          <w:color w:val="31849B"/>
          <w:sz w:val="30"/>
          <w:szCs w:val="30"/>
        </w:rPr>
        <w:lastRenderedPageBreak/>
        <w:t xml:space="preserve">The </w:t>
      </w:r>
      <w:r w:rsidR="002A053D">
        <w:rPr>
          <w:rFonts w:asciiTheme="minorHAnsi" w:hAnsiTheme="minorHAnsi" w:cstheme="minorHAnsi"/>
        </w:rPr>
        <w:t>Risk and Assurance</w:t>
      </w:r>
      <w:r w:rsidR="009521DF">
        <w:rPr>
          <w:rStyle w:val="Itemreference"/>
          <w:rFonts w:asciiTheme="minorHAnsi" w:hAnsiTheme="minorHAnsi" w:cstheme="minorHAnsi"/>
          <w:color w:val="31849B"/>
          <w:sz w:val="30"/>
          <w:szCs w:val="30"/>
        </w:rPr>
        <w:t xml:space="preserve"> Manager </w:t>
      </w:r>
      <w:r w:rsidR="006D5DC9" w:rsidRPr="00677250">
        <w:rPr>
          <w:rStyle w:val="Itemreference"/>
          <w:rFonts w:asciiTheme="minorHAnsi" w:hAnsiTheme="minorHAnsi" w:cstheme="minorHAnsi"/>
          <w:color w:val="31849B"/>
          <w:sz w:val="30"/>
          <w:szCs w:val="30"/>
        </w:rPr>
        <w:t>role</w:t>
      </w:r>
      <w:bookmarkEnd w:id="2"/>
      <w:bookmarkEnd w:id="6"/>
    </w:p>
    <w:p w14:paraId="69EF256C" w14:textId="45DDAE08" w:rsidR="00677250" w:rsidRPr="00677250" w:rsidRDefault="00677250" w:rsidP="00341233">
      <w:pPr>
        <w:pStyle w:val="NoSpacing"/>
        <w:outlineLvl w:val="1"/>
        <w:rPr>
          <w:rFonts w:asciiTheme="minorHAnsi" w:hAnsiTheme="minorHAnsi" w:cstheme="minorHAnsi"/>
          <w:b/>
          <w:sz w:val="24"/>
        </w:rPr>
      </w:pPr>
      <w:bookmarkStart w:id="7" w:name="_Toc108001990"/>
      <w:r w:rsidRPr="00677250">
        <w:rPr>
          <w:rFonts w:asciiTheme="minorHAnsi" w:hAnsiTheme="minorHAnsi" w:cstheme="minorHAnsi"/>
          <w:b/>
          <w:sz w:val="24"/>
        </w:rPr>
        <w:t>Role P</w:t>
      </w:r>
      <w:r w:rsidR="00540B6C">
        <w:rPr>
          <w:rFonts w:asciiTheme="minorHAnsi" w:hAnsiTheme="minorHAnsi" w:cstheme="minorHAnsi"/>
          <w:b/>
          <w:sz w:val="24"/>
        </w:rPr>
        <w:t>rofile</w:t>
      </w:r>
      <w:bookmarkEnd w:id="7"/>
    </w:p>
    <w:p w14:paraId="1A592FF0" w14:textId="77777777" w:rsidR="00593BED" w:rsidRDefault="00593BED" w:rsidP="00341233">
      <w:pPr>
        <w:pStyle w:val="NoSpacing"/>
        <w:rPr>
          <w:rFonts w:asciiTheme="minorHAnsi" w:hAnsiTheme="minorHAnsi" w:cstheme="minorHAnsi"/>
          <w:sz w:val="24"/>
        </w:rPr>
      </w:pPr>
    </w:p>
    <w:p w14:paraId="7C22A266" w14:textId="29564C99" w:rsidR="00161BF3" w:rsidRDefault="00677250" w:rsidP="00341233">
      <w:pPr>
        <w:pStyle w:val="NoSpacing"/>
        <w:jc w:val="both"/>
        <w:rPr>
          <w:rFonts w:asciiTheme="minorHAnsi" w:hAnsiTheme="minorHAnsi" w:cstheme="minorHAnsi"/>
          <w:sz w:val="24"/>
        </w:rPr>
      </w:pPr>
      <w:r w:rsidRPr="00677250">
        <w:rPr>
          <w:rFonts w:asciiTheme="minorHAnsi" w:hAnsiTheme="minorHAnsi" w:cstheme="minorHAnsi"/>
          <w:sz w:val="24"/>
        </w:rPr>
        <w:t xml:space="preserve">Take a leading role in the </w:t>
      </w:r>
      <w:r w:rsidR="006F4C9C">
        <w:rPr>
          <w:rFonts w:asciiTheme="minorHAnsi" w:hAnsiTheme="minorHAnsi" w:cstheme="minorHAnsi"/>
          <w:sz w:val="24"/>
        </w:rPr>
        <w:t xml:space="preserve">oversight of </w:t>
      </w:r>
      <w:r w:rsidRPr="00677250">
        <w:rPr>
          <w:rFonts w:asciiTheme="minorHAnsi" w:hAnsiTheme="minorHAnsi" w:cstheme="minorHAnsi"/>
          <w:sz w:val="24"/>
        </w:rPr>
        <w:t>risk management</w:t>
      </w:r>
      <w:r w:rsidR="002A053D">
        <w:rPr>
          <w:rFonts w:asciiTheme="minorHAnsi" w:hAnsiTheme="minorHAnsi" w:cstheme="minorHAnsi"/>
          <w:sz w:val="24"/>
        </w:rPr>
        <w:t xml:space="preserve">, internal </w:t>
      </w:r>
      <w:proofErr w:type="gramStart"/>
      <w:r w:rsidR="002A053D">
        <w:rPr>
          <w:rFonts w:asciiTheme="minorHAnsi" w:hAnsiTheme="minorHAnsi" w:cstheme="minorHAnsi"/>
          <w:sz w:val="24"/>
        </w:rPr>
        <w:t>controls</w:t>
      </w:r>
      <w:proofErr w:type="gramEnd"/>
      <w:r w:rsidRPr="00677250">
        <w:rPr>
          <w:rFonts w:asciiTheme="minorHAnsi" w:hAnsiTheme="minorHAnsi" w:cstheme="minorHAnsi"/>
          <w:sz w:val="24"/>
        </w:rPr>
        <w:t xml:space="preserve"> and </w:t>
      </w:r>
      <w:r w:rsidR="002E5B91">
        <w:rPr>
          <w:rFonts w:asciiTheme="minorHAnsi" w:hAnsiTheme="minorHAnsi" w:cstheme="minorHAnsi"/>
          <w:sz w:val="24"/>
        </w:rPr>
        <w:t xml:space="preserve">internal/external </w:t>
      </w:r>
      <w:r w:rsidRPr="00677250">
        <w:rPr>
          <w:rFonts w:asciiTheme="minorHAnsi" w:hAnsiTheme="minorHAnsi" w:cstheme="minorHAnsi"/>
          <w:sz w:val="24"/>
        </w:rPr>
        <w:t xml:space="preserve">audit of the BTPA. </w:t>
      </w:r>
      <w:r w:rsidR="00161BF3" w:rsidRPr="00677250">
        <w:rPr>
          <w:rFonts w:asciiTheme="minorHAnsi" w:hAnsiTheme="minorHAnsi" w:cstheme="minorHAnsi"/>
          <w:sz w:val="24"/>
        </w:rPr>
        <w:t>Drive the risk management agenda with a focus on embedding risk management within the organisation and continuous controls improvement.</w:t>
      </w:r>
      <w:r w:rsidR="00161BF3">
        <w:rPr>
          <w:rFonts w:asciiTheme="minorHAnsi" w:hAnsiTheme="minorHAnsi" w:cstheme="minorHAnsi"/>
          <w:sz w:val="24"/>
        </w:rPr>
        <w:t xml:space="preserve"> </w:t>
      </w:r>
    </w:p>
    <w:p w14:paraId="4C4A5025" w14:textId="77777777" w:rsidR="00161BF3" w:rsidRDefault="00161BF3" w:rsidP="00341233">
      <w:pPr>
        <w:pStyle w:val="NoSpacing"/>
        <w:jc w:val="both"/>
        <w:rPr>
          <w:rFonts w:asciiTheme="minorHAnsi" w:hAnsiTheme="minorHAnsi" w:cstheme="minorHAnsi"/>
          <w:sz w:val="24"/>
        </w:rPr>
      </w:pPr>
    </w:p>
    <w:p w14:paraId="108C6C18" w14:textId="77777777" w:rsidR="003E493A" w:rsidRDefault="00161BF3" w:rsidP="00341233">
      <w:pPr>
        <w:pStyle w:val="NoSpacing"/>
        <w:jc w:val="both"/>
        <w:rPr>
          <w:rFonts w:asciiTheme="minorHAnsi" w:hAnsiTheme="minorHAnsi" w:cstheme="minorHAnsi"/>
          <w:sz w:val="24"/>
        </w:rPr>
      </w:pPr>
      <w:r w:rsidRPr="00677250">
        <w:rPr>
          <w:rFonts w:asciiTheme="minorHAnsi" w:hAnsiTheme="minorHAnsi" w:cstheme="minorHAnsi"/>
          <w:sz w:val="24"/>
        </w:rPr>
        <w:t xml:space="preserve">Partner with colleagues and stakeholders across the Authority, </w:t>
      </w:r>
      <w:r>
        <w:rPr>
          <w:rFonts w:asciiTheme="minorHAnsi" w:hAnsiTheme="minorHAnsi" w:cstheme="minorHAnsi"/>
          <w:sz w:val="24"/>
        </w:rPr>
        <w:t>BTP</w:t>
      </w:r>
      <w:r w:rsidRPr="00677250">
        <w:rPr>
          <w:rFonts w:asciiTheme="minorHAnsi" w:hAnsiTheme="minorHAnsi" w:cstheme="minorHAnsi"/>
          <w:sz w:val="24"/>
        </w:rPr>
        <w:t xml:space="preserve"> and government to collate assurance </w:t>
      </w:r>
      <w:r>
        <w:rPr>
          <w:rFonts w:asciiTheme="minorHAnsi" w:hAnsiTheme="minorHAnsi" w:cstheme="minorHAnsi"/>
          <w:sz w:val="24"/>
        </w:rPr>
        <w:t xml:space="preserve">and reporting </w:t>
      </w:r>
      <w:r w:rsidRPr="00677250">
        <w:rPr>
          <w:rFonts w:asciiTheme="minorHAnsi" w:hAnsiTheme="minorHAnsi" w:cstheme="minorHAnsi"/>
          <w:sz w:val="24"/>
        </w:rPr>
        <w:t xml:space="preserve">across the three Lines of Defence to enable the BTPA Executive and Members to maintain appropriate oversight of the </w:t>
      </w:r>
      <w:r w:rsidR="00BE339C">
        <w:rPr>
          <w:rFonts w:asciiTheme="minorHAnsi" w:hAnsiTheme="minorHAnsi" w:cstheme="minorHAnsi"/>
          <w:sz w:val="24"/>
        </w:rPr>
        <w:t>BTP</w:t>
      </w:r>
      <w:r w:rsidRPr="00677250">
        <w:rPr>
          <w:rFonts w:asciiTheme="minorHAnsi" w:hAnsiTheme="minorHAnsi" w:cstheme="minorHAnsi"/>
          <w:sz w:val="24"/>
        </w:rPr>
        <w:t xml:space="preserve">. Develop reports to Members to support effective engagement with Committees. </w:t>
      </w:r>
    </w:p>
    <w:p w14:paraId="18C35DA9" w14:textId="77777777" w:rsidR="003E493A" w:rsidRDefault="003E493A" w:rsidP="00341233">
      <w:pPr>
        <w:pStyle w:val="NoSpacing"/>
        <w:jc w:val="both"/>
        <w:rPr>
          <w:rFonts w:asciiTheme="minorHAnsi" w:hAnsiTheme="minorHAnsi" w:cstheme="minorHAnsi"/>
          <w:sz w:val="24"/>
        </w:rPr>
      </w:pPr>
    </w:p>
    <w:p w14:paraId="44CC451D" w14:textId="7D6F86D9" w:rsidR="00AA096C" w:rsidRDefault="00B00501" w:rsidP="00341233">
      <w:pPr>
        <w:pStyle w:val="NoSpacing"/>
        <w:jc w:val="both"/>
        <w:rPr>
          <w:rFonts w:asciiTheme="minorHAnsi" w:hAnsiTheme="minorHAnsi" w:cstheme="minorHAnsi"/>
          <w:sz w:val="24"/>
        </w:rPr>
      </w:pPr>
      <w:r>
        <w:rPr>
          <w:rFonts w:asciiTheme="minorHAnsi" w:hAnsiTheme="minorHAnsi" w:cstheme="minorHAnsi"/>
          <w:sz w:val="24"/>
        </w:rPr>
        <w:t xml:space="preserve">A key </w:t>
      </w:r>
      <w:r w:rsidR="003E493A">
        <w:rPr>
          <w:rFonts w:asciiTheme="minorHAnsi" w:hAnsiTheme="minorHAnsi" w:cstheme="minorHAnsi"/>
          <w:sz w:val="24"/>
        </w:rPr>
        <w:t xml:space="preserve">statutory </w:t>
      </w:r>
      <w:r>
        <w:rPr>
          <w:rFonts w:asciiTheme="minorHAnsi" w:hAnsiTheme="minorHAnsi" w:cstheme="minorHAnsi"/>
          <w:sz w:val="24"/>
        </w:rPr>
        <w:t xml:space="preserve">deliverable is </w:t>
      </w:r>
      <w:r w:rsidR="003E493A">
        <w:rPr>
          <w:rFonts w:asciiTheme="minorHAnsi" w:hAnsiTheme="minorHAnsi" w:cstheme="minorHAnsi"/>
          <w:sz w:val="24"/>
        </w:rPr>
        <w:t>the production of t</w:t>
      </w:r>
      <w:r w:rsidR="002A053D">
        <w:rPr>
          <w:rFonts w:asciiTheme="minorHAnsi" w:hAnsiTheme="minorHAnsi" w:cstheme="minorHAnsi"/>
          <w:sz w:val="24"/>
        </w:rPr>
        <w:t xml:space="preserve">he Annual Report as part of the Annual Report and Accounts. </w:t>
      </w:r>
      <w:r w:rsidR="003E493A">
        <w:rPr>
          <w:rFonts w:asciiTheme="minorHAnsi" w:hAnsiTheme="minorHAnsi" w:cstheme="minorHAnsi"/>
          <w:sz w:val="24"/>
        </w:rPr>
        <w:t>The role is responsible for developing a</w:t>
      </w:r>
      <w:r w:rsidR="006F4C9C">
        <w:rPr>
          <w:rFonts w:asciiTheme="minorHAnsi" w:hAnsiTheme="minorHAnsi" w:cstheme="minorHAnsi"/>
          <w:sz w:val="24"/>
        </w:rPr>
        <w:t>nd manag</w:t>
      </w:r>
      <w:r w:rsidR="003E493A">
        <w:rPr>
          <w:rFonts w:asciiTheme="minorHAnsi" w:hAnsiTheme="minorHAnsi" w:cstheme="minorHAnsi"/>
          <w:sz w:val="24"/>
        </w:rPr>
        <w:t>ing</w:t>
      </w:r>
      <w:r w:rsidR="002A053D">
        <w:rPr>
          <w:rFonts w:asciiTheme="minorHAnsi" w:hAnsiTheme="minorHAnsi" w:cstheme="minorHAnsi"/>
          <w:sz w:val="24"/>
        </w:rPr>
        <w:t xml:space="preserve"> </w:t>
      </w:r>
      <w:r w:rsidR="00447C77">
        <w:rPr>
          <w:rFonts w:asciiTheme="minorHAnsi" w:hAnsiTheme="minorHAnsi" w:cstheme="minorHAnsi"/>
          <w:sz w:val="24"/>
        </w:rPr>
        <w:t xml:space="preserve">the </w:t>
      </w:r>
      <w:r w:rsidR="006F4C9C">
        <w:rPr>
          <w:rFonts w:asciiTheme="minorHAnsi" w:hAnsiTheme="minorHAnsi" w:cstheme="minorHAnsi"/>
          <w:sz w:val="24"/>
        </w:rPr>
        <w:t>BTPA budget.</w:t>
      </w:r>
    </w:p>
    <w:p w14:paraId="3043AAF4" w14:textId="6A32620A" w:rsidR="00540B6C" w:rsidRDefault="00540B6C" w:rsidP="00341233">
      <w:pPr>
        <w:pStyle w:val="NoSpacing"/>
        <w:jc w:val="both"/>
        <w:rPr>
          <w:rFonts w:asciiTheme="minorHAnsi" w:hAnsiTheme="minorHAnsi" w:cstheme="minorHAnsi"/>
          <w:sz w:val="24"/>
        </w:rPr>
      </w:pPr>
    </w:p>
    <w:p w14:paraId="47B2B53D" w14:textId="455ED999" w:rsidR="00540B6C" w:rsidRPr="00677250" w:rsidRDefault="00540B6C" w:rsidP="00540B6C">
      <w:pPr>
        <w:rPr>
          <w:rFonts w:asciiTheme="minorHAnsi" w:hAnsiTheme="minorHAnsi" w:cstheme="minorHAnsi"/>
          <w:szCs w:val="24"/>
        </w:rPr>
      </w:pPr>
      <w:r>
        <w:rPr>
          <w:rFonts w:asciiTheme="minorHAnsi" w:hAnsiTheme="minorHAnsi" w:cstheme="minorHAnsi"/>
          <w:szCs w:val="24"/>
        </w:rPr>
        <w:t xml:space="preserve">The role reports directly to the CFO. </w:t>
      </w:r>
      <w:r w:rsidRPr="00677250">
        <w:rPr>
          <w:rFonts w:asciiTheme="minorHAnsi" w:hAnsiTheme="minorHAnsi" w:cstheme="minorHAnsi"/>
          <w:szCs w:val="24"/>
        </w:rPr>
        <w:t xml:space="preserve">Authority staff are working </w:t>
      </w:r>
      <w:r>
        <w:rPr>
          <w:rFonts w:asciiTheme="minorHAnsi" w:hAnsiTheme="minorHAnsi" w:cstheme="minorHAnsi"/>
          <w:szCs w:val="24"/>
        </w:rPr>
        <w:t>to</w:t>
      </w:r>
      <w:r w:rsidRPr="00677250">
        <w:rPr>
          <w:rFonts w:asciiTheme="minorHAnsi" w:hAnsiTheme="minorHAnsi" w:cstheme="minorHAnsi"/>
          <w:szCs w:val="24"/>
        </w:rPr>
        <w:t xml:space="preserve"> a hybrid model with staff attending the office in Camden 40% of the week</w:t>
      </w:r>
      <w:r>
        <w:rPr>
          <w:rFonts w:asciiTheme="minorHAnsi" w:hAnsiTheme="minorHAnsi" w:cstheme="minorHAnsi"/>
          <w:szCs w:val="24"/>
        </w:rPr>
        <w:t xml:space="preserve"> (pro-rated for working patterns) and working from home for the remainder</w:t>
      </w:r>
      <w:r w:rsidRPr="00677250">
        <w:rPr>
          <w:rFonts w:asciiTheme="minorHAnsi" w:hAnsiTheme="minorHAnsi" w:cstheme="minorHAnsi"/>
          <w:szCs w:val="24"/>
        </w:rPr>
        <w:t>.</w:t>
      </w:r>
      <w:r w:rsidR="003E75B0">
        <w:rPr>
          <w:rFonts w:asciiTheme="minorHAnsi" w:hAnsiTheme="minorHAnsi" w:cstheme="minorHAnsi"/>
          <w:szCs w:val="24"/>
        </w:rPr>
        <w:t xml:space="preserve"> </w:t>
      </w:r>
      <w:r w:rsidR="003E75B0" w:rsidRPr="00CE2FC7">
        <w:rPr>
          <w:rFonts w:asciiTheme="minorHAnsi" w:hAnsiTheme="minorHAnsi" w:cstheme="minorHAnsi"/>
        </w:rPr>
        <w:t xml:space="preserve">BTPA </w:t>
      </w:r>
      <w:r w:rsidR="0043375B">
        <w:rPr>
          <w:rFonts w:asciiTheme="minorHAnsi" w:hAnsiTheme="minorHAnsi" w:cstheme="minorHAnsi"/>
        </w:rPr>
        <w:t>is</w:t>
      </w:r>
      <w:r w:rsidR="003E75B0" w:rsidRPr="00CE2FC7">
        <w:rPr>
          <w:rFonts w:asciiTheme="minorHAnsi" w:hAnsiTheme="minorHAnsi" w:cstheme="minorHAnsi"/>
        </w:rPr>
        <w:t xml:space="preserve"> an inclusive employer and embraces flexible working to ensure it has the widest reach and its employees have a work/life balance.</w:t>
      </w:r>
    </w:p>
    <w:p w14:paraId="4EAEADCD" w14:textId="77777777" w:rsidR="00AA096C" w:rsidRDefault="00AA096C" w:rsidP="00341233">
      <w:pPr>
        <w:pStyle w:val="NoSpacing"/>
        <w:rPr>
          <w:rFonts w:asciiTheme="minorHAnsi" w:hAnsiTheme="minorHAnsi" w:cstheme="minorHAnsi"/>
          <w:sz w:val="24"/>
        </w:rPr>
      </w:pPr>
    </w:p>
    <w:p w14:paraId="1099F567" w14:textId="753F0817" w:rsidR="00CC2E87" w:rsidRDefault="00677250" w:rsidP="00341233">
      <w:pPr>
        <w:pStyle w:val="NoSpacing"/>
        <w:rPr>
          <w:rFonts w:asciiTheme="minorHAnsi" w:hAnsiTheme="minorHAnsi" w:cstheme="minorHAnsi"/>
          <w:color w:val="000000"/>
          <w:sz w:val="24"/>
          <w:u w:val="single"/>
        </w:rPr>
      </w:pPr>
      <w:bookmarkStart w:id="8" w:name="_Toc108001991"/>
      <w:r w:rsidRPr="00677250">
        <w:rPr>
          <w:rFonts w:asciiTheme="minorHAnsi" w:hAnsiTheme="minorHAnsi" w:cstheme="minorHAnsi"/>
          <w:b/>
          <w:sz w:val="24"/>
        </w:rPr>
        <w:t>Accountabilities</w:t>
      </w:r>
      <w:bookmarkEnd w:id="8"/>
    </w:p>
    <w:p w14:paraId="4E904AFF" w14:textId="77777777" w:rsidR="00CC2E87" w:rsidRDefault="00CC2E87" w:rsidP="00341233">
      <w:pPr>
        <w:pStyle w:val="NoSpacing"/>
        <w:rPr>
          <w:rFonts w:asciiTheme="minorHAnsi" w:hAnsiTheme="minorHAnsi" w:cstheme="minorHAnsi"/>
          <w:color w:val="000000"/>
          <w:sz w:val="24"/>
          <w:u w:val="single"/>
        </w:rPr>
      </w:pPr>
    </w:p>
    <w:p w14:paraId="1E389FF0" w14:textId="1DFF8B84" w:rsidR="00341233" w:rsidRDefault="00CC2E87" w:rsidP="00341233">
      <w:pPr>
        <w:pStyle w:val="NoSpacing"/>
        <w:rPr>
          <w:rFonts w:asciiTheme="minorHAnsi" w:hAnsiTheme="minorHAnsi" w:cstheme="minorHAnsi"/>
          <w:color w:val="000000"/>
          <w:sz w:val="24"/>
          <w:u w:val="single"/>
        </w:rPr>
      </w:pPr>
      <w:r w:rsidRPr="00677250">
        <w:rPr>
          <w:rFonts w:asciiTheme="minorHAnsi" w:hAnsiTheme="minorHAnsi" w:cstheme="minorHAnsi"/>
          <w:color w:val="000000"/>
          <w:sz w:val="24"/>
          <w:u w:val="single"/>
        </w:rPr>
        <w:t>Risk Management and Controls</w:t>
      </w:r>
    </w:p>
    <w:p w14:paraId="39F24DC3" w14:textId="77777777" w:rsidR="00CD6F82" w:rsidRPr="00677250" w:rsidRDefault="00CD6F82" w:rsidP="00341233">
      <w:pPr>
        <w:pStyle w:val="NoSpacing"/>
        <w:ind w:firstLine="284"/>
        <w:rPr>
          <w:rFonts w:asciiTheme="minorHAnsi" w:hAnsiTheme="minorHAnsi" w:cstheme="minorHAnsi"/>
          <w:color w:val="000000"/>
          <w:sz w:val="24"/>
          <w:u w:val="single"/>
        </w:rPr>
      </w:pPr>
    </w:p>
    <w:p w14:paraId="66D25919" w14:textId="05AB66B0" w:rsidR="00CC2E87" w:rsidRPr="00677250" w:rsidRDefault="00E51436" w:rsidP="00341233">
      <w:pPr>
        <w:pStyle w:val="NoSpacing"/>
        <w:numPr>
          <w:ilvl w:val="0"/>
          <w:numId w:val="30"/>
        </w:numPr>
        <w:ind w:left="426" w:hanging="426"/>
        <w:rPr>
          <w:rFonts w:asciiTheme="minorHAnsi" w:hAnsiTheme="minorHAnsi" w:cstheme="minorHAnsi"/>
          <w:color w:val="000000"/>
          <w:sz w:val="24"/>
        </w:rPr>
      </w:pPr>
      <w:r>
        <w:rPr>
          <w:rFonts w:asciiTheme="minorHAnsi" w:hAnsiTheme="minorHAnsi" w:cstheme="minorHAnsi"/>
          <w:color w:val="000000"/>
          <w:sz w:val="24"/>
        </w:rPr>
        <w:t>Working closely with the Chair of the Audit and Risk Committee</w:t>
      </w:r>
      <w:r w:rsidR="00540B6C">
        <w:rPr>
          <w:rFonts w:asciiTheme="minorHAnsi" w:hAnsiTheme="minorHAnsi" w:cstheme="minorHAnsi"/>
          <w:color w:val="000000"/>
          <w:sz w:val="24"/>
        </w:rPr>
        <w:t xml:space="preserve"> (ARAC)</w:t>
      </w:r>
      <w:r>
        <w:rPr>
          <w:rFonts w:asciiTheme="minorHAnsi" w:hAnsiTheme="minorHAnsi" w:cstheme="minorHAnsi"/>
          <w:color w:val="000000"/>
          <w:sz w:val="24"/>
        </w:rPr>
        <w:t xml:space="preserve">, CFO and collaboratively with BTP, ensure </w:t>
      </w:r>
      <w:r w:rsidR="00CC2E87" w:rsidRPr="00677250">
        <w:rPr>
          <w:rFonts w:asciiTheme="minorHAnsi" w:hAnsiTheme="minorHAnsi" w:cstheme="minorHAnsi"/>
          <w:color w:val="000000"/>
          <w:sz w:val="24"/>
        </w:rPr>
        <w:t>the key risks across the organisation</w:t>
      </w:r>
      <w:r>
        <w:rPr>
          <w:rFonts w:asciiTheme="minorHAnsi" w:hAnsiTheme="minorHAnsi" w:cstheme="minorHAnsi"/>
          <w:color w:val="000000"/>
          <w:sz w:val="24"/>
        </w:rPr>
        <w:t xml:space="preserve"> are subject to continuous assessment and review providing</w:t>
      </w:r>
      <w:r w:rsidR="00CC2E87" w:rsidRPr="00677250">
        <w:rPr>
          <w:rFonts w:asciiTheme="minorHAnsi" w:hAnsiTheme="minorHAnsi" w:cstheme="minorHAnsi"/>
          <w:color w:val="000000"/>
          <w:sz w:val="24"/>
        </w:rPr>
        <w:t xml:space="preserve"> regular maintenance of the </w:t>
      </w:r>
      <w:r>
        <w:rPr>
          <w:rFonts w:asciiTheme="minorHAnsi" w:hAnsiTheme="minorHAnsi" w:cstheme="minorHAnsi"/>
          <w:color w:val="000000"/>
          <w:sz w:val="24"/>
        </w:rPr>
        <w:t xml:space="preserve">joint </w:t>
      </w:r>
      <w:r w:rsidR="00CC2E87" w:rsidRPr="00677250">
        <w:rPr>
          <w:rFonts w:asciiTheme="minorHAnsi" w:hAnsiTheme="minorHAnsi" w:cstheme="minorHAnsi"/>
          <w:color w:val="000000"/>
          <w:sz w:val="24"/>
        </w:rPr>
        <w:t xml:space="preserve">risk register. This covers both operational risk </w:t>
      </w:r>
      <w:r w:rsidR="00181E6D">
        <w:rPr>
          <w:rFonts w:asciiTheme="minorHAnsi" w:hAnsiTheme="minorHAnsi" w:cstheme="minorHAnsi"/>
          <w:color w:val="000000"/>
          <w:sz w:val="24"/>
        </w:rPr>
        <w:t>and</w:t>
      </w:r>
      <w:r w:rsidR="00CC2E87" w:rsidRPr="00677250">
        <w:rPr>
          <w:rFonts w:asciiTheme="minorHAnsi" w:hAnsiTheme="minorHAnsi" w:cstheme="minorHAnsi"/>
          <w:color w:val="000000"/>
          <w:sz w:val="24"/>
        </w:rPr>
        <w:t xml:space="preserve"> strategic risks within the business.</w:t>
      </w:r>
    </w:p>
    <w:p w14:paraId="2EB10500" w14:textId="77777777" w:rsidR="00CC2E87" w:rsidRPr="00677250"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Oversee the counter-fraud strategy, ensuring organisation-wide adoption and continued focus on fraud awareness and prevention.</w:t>
      </w:r>
    </w:p>
    <w:p w14:paraId="5819A093" w14:textId="77777777" w:rsidR="00CC2E87" w:rsidRPr="00677250" w:rsidRDefault="00CC2E87" w:rsidP="00341233">
      <w:pPr>
        <w:pStyle w:val="NoSpacing"/>
        <w:numPr>
          <w:ilvl w:val="0"/>
          <w:numId w:val="30"/>
        </w:numPr>
        <w:ind w:left="426" w:hanging="426"/>
        <w:rPr>
          <w:rFonts w:asciiTheme="minorHAnsi" w:hAnsiTheme="minorHAnsi" w:cstheme="minorHAnsi"/>
          <w:color w:val="44546A"/>
          <w:sz w:val="24"/>
        </w:rPr>
      </w:pPr>
      <w:r w:rsidRPr="00677250">
        <w:rPr>
          <w:rFonts w:asciiTheme="minorHAnsi" w:hAnsiTheme="minorHAnsi" w:cstheme="minorHAnsi"/>
          <w:color w:val="000000"/>
          <w:sz w:val="24"/>
        </w:rPr>
        <w:t>Liaise across the organisation to ensure the annual Management Assurance Report (MAR) is submitted to DfT in a timely and accurate manner. Ensure continued focus throughout the year by BTP on the development and delivery of the MAR action plans and provide independent review and testing of evidence of actions undertaken.</w:t>
      </w:r>
      <w:r w:rsidRPr="00677250">
        <w:rPr>
          <w:rFonts w:asciiTheme="minorHAnsi" w:hAnsiTheme="minorHAnsi" w:cstheme="minorHAnsi"/>
          <w:color w:val="44546A"/>
          <w:sz w:val="24"/>
        </w:rPr>
        <w:t xml:space="preserve"> </w:t>
      </w:r>
    </w:p>
    <w:p w14:paraId="6A31FD7E" w14:textId="77777777" w:rsidR="00CC2E87"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Oversee the reporting and monitoring of internal control deficiencies and subsequent remedial actions.</w:t>
      </w:r>
    </w:p>
    <w:p w14:paraId="1AD6BFAA" w14:textId="310C6F8E" w:rsidR="00CC2E87" w:rsidRPr="00AA096C"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sz w:val="24"/>
        </w:rPr>
        <w:t>Oversee the adoption of the Government Functional Standards.</w:t>
      </w:r>
    </w:p>
    <w:p w14:paraId="3CFD33DE" w14:textId="04F65496" w:rsidR="00CC2E87" w:rsidRDefault="00CC2E87" w:rsidP="00341233">
      <w:pPr>
        <w:pStyle w:val="NoSpacing"/>
        <w:ind w:hanging="567"/>
        <w:rPr>
          <w:rFonts w:asciiTheme="minorHAnsi" w:hAnsiTheme="minorHAnsi" w:cstheme="minorHAnsi"/>
          <w:color w:val="000000"/>
          <w:sz w:val="24"/>
          <w:u w:val="single"/>
        </w:rPr>
      </w:pPr>
    </w:p>
    <w:p w14:paraId="7B904CED" w14:textId="1F9DF1E8" w:rsidR="00CC2E87" w:rsidRDefault="00CC2E87" w:rsidP="00341233">
      <w:pPr>
        <w:pStyle w:val="NoSpacing"/>
        <w:rPr>
          <w:rFonts w:asciiTheme="minorHAnsi" w:hAnsiTheme="minorHAnsi" w:cstheme="minorHAnsi"/>
          <w:color w:val="000000"/>
          <w:sz w:val="24"/>
          <w:u w:val="single"/>
        </w:rPr>
      </w:pPr>
      <w:r w:rsidRPr="00677250">
        <w:rPr>
          <w:rFonts w:asciiTheme="minorHAnsi" w:hAnsiTheme="minorHAnsi" w:cstheme="minorHAnsi"/>
          <w:color w:val="000000"/>
          <w:sz w:val="24"/>
          <w:u w:val="single"/>
        </w:rPr>
        <w:t>Internal/External Audit</w:t>
      </w:r>
    </w:p>
    <w:p w14:paraId="09561060" w14:textId="77777777" w:rsidR="00CD6F82" w:rsidRPr="00677250" w:rsidRDefault="00CD6F82" w:rsidP="00341233">
      <w:pPr>
        <w:pStyle w:val="NoSpacing"/>
        <w:ind w:hanging="567"/>
        <w:rPr>
          <w:rFonts w:asciiTheme="minorHAnsi" w:hAnsiTheme="minorHAnsi" w:cstheme="minorHAnsi"/>
          <w:color w:val="000000"/>
          <w:sz w:val="24"/>
          <w:u w:val="single"/>
        </w:rPr>
      </w:pPr>
    </w:p>
    <w:p w14:paraId="69E40CD1" w14:textId="3755012B" w:rsidR="00CC2E87" w:rsidRPr="00677250"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 xml:space="preserve">Manage the Internal Audit </w:t>
      </w:r>
      <w:r w:rsidR="00E51436">
        <w:rPr>
          <w:rFonts w:asciiTheme="minorHAnsi" w:hAnsiTheme="minorHAnsi" w:cstheme="minorHAnsi"/>
          <w:color w:val="000000"/>
          <w:sz w:val="24"/>
        </w:rPr>
        <w:t>process</w:t>
      </w:r>
      <w:r w:rsidRPr="00677250">
        <w:rPr>
          <w:rFonts w:asciiTheme="minorHAnsi" w:hAnsiTheme="minorHAnsi" w:cstheme="minorHAnsi"/>
          <w:color w:val="000000"/>
          <w:sz w:val="24"/>
        </w:rPr>
        <w:t xml:space="preserve"> including develop</w:t>
      </w:r>
      <w:r w:rsidR="00E51436">
        <w:rPr>
          <w:rFonts w:asciiTheme="minorHAnsi" w:hAnsiTheme="minorHAnsi" w:cstheme="minorHAnsi"/>
          <w:color w:val="000000"/>
          <w:sz w:val="24"/>
        </w:rPr>
        <w:t>ment of</w:t>
      </w:r>
      <w:r w:rsidRPr="00677250">
        <w:rPr>
          <w:rFonts w:asciiTheme="minorHAnsi" w:hAnsiTheme="minorHAnsi" w:cstheme="minorHAnsi"/>
          <w:color w:val="000000"/>
          <w:sz w:val="24"/>
        </w:rPr>
        <w:t xml:space="preserve"> the annual internal audit plan, </w:t>
      </w:r>
      <w:r>
        <w:rPr>
          <w:rFonts w:asciiTheme="minorHAnsi" w:hAnsiTheme="minorHAnsi" w:cstheme="minorHAnsi"/>
          <w:color w:val="000000"/>
          <w:sz w:val="24"/>
        </w:rPr>
        <w:t xml:space="preserve">agreeing scope of reviews, </w:t>
      </w:r>
      <w:r w:rsidRPr="00677250">
        <w:rPr>
          <w:rFonts w:asciiTheme="minorHAnsi" w:hAnsiTheme="minorHAnsi" w:cstheme="minorHAnsi"/>
          <w:color w:val="000000"/>
          <w:sz w:val="24"/>
        </w:rPr>
        <w:t>reviewing internal audit reports, reviewing/providing management responses to audit</w:t>
      </w:r>
      <w:r w:rsidR="00540B6C">
        <w:rPr>
          <w:rFonts w:asciiTheme="minorHAnsi" w:hAnsiTheme="minorHAnsi" w:cstheme="minorHAnsi"/>
          <w:color w:val="000000"/>
          <w:sz w:val="24"/>
        </w:rPr>
        <w:t xml:space="preserve"> </w:t>
      </w:r>
      <w:r w:rsidRPr="00677250">
        <w:rPr>
          <w:rFonts w:asciiTheme="minorHAnsi" w:hAnsiTheme="minorHAnsi" w:cstheme="minorHAnsi"/>
          <w:color w:val="000000"/>
          <w:sz w:val="24"/>
        </w:rPr>
        <w:t>findings and reporting to the</w:t>
      </w:r>
      <w:r w:rsidR="00540B6C">
        <w:rPr>
          <w:rFonts w:asciiTheme="minorHAnsi" w:hAnsiTheme="minorHAnsi" w:cstheme="minorHAnsi"/>
          <w:color w:val="000000"/>
          <w:sz w:val="24"/>
        </w:rPr>
        <w:t xml:space="preserve"> </w:t>
      </w:r>
      <w:r>
        <w:rPr>
          <w:rFonts w:asciiTheme="minorHAnsi" w:hAnsiTheme="minorHAnsi" w:cstheme="minorHAnsi"/>
          <w:color w:val="000000"/>
          <w:sz w:val="24"/>
        </w:rPr>
        <w:t>ARAC</w:t>
      </w:r>
      <w:r w:rsidRPr="00677250">
        <w:rPr>
          <w:rFonts w:asciiTheme="minorHAnsi" w:hAnsiTheme="minorHAnsi" w:cstheme="minorHAnsi"/>
          <w:color w:val="000000"/>
          <w:sz w:val="24"/>
        </w:rPr>
        <w:t xml:space="preserve">. </w:t>
      </w:r>
    </w:p>
    <w:p w14:paraId="6CCC9D57" w14:textId="2E53DFB3" w:rsidR="00CC2E87" w:rsidRPr="00677250"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 xml:space="preserve">Oversee the external audit </w:t>
      </w:r>
      <w:r>
        <w:rPr>
          <w:rFonts w:asciiTheme="minorHAnsi" w:hAnsiTheme="minorHAnsi" w:cstheme="minorHAnsi"/>
          <w:color w:val="000000"/>
          <w:sz w:val="24"/>
        </w:rPr>
        <w:t xml:space="preserve">process </w:t>
      </w:r>
      <w:r w:rsidRPr="00677250">
        <w:rPr>
          <w:rFonts w:asciiTheme="minorHAnsi" w:hAnsiTheme="minorHAnsi" w:cstheme="minorHAnsi"/>
          <w:color w:val="000000"/>
          <w:sz w:val="24"/>
        </w:rPr>
        <w:t xml:space="preserve">of the </w:t>
      </w:r>
      <w:r>
        <w:rPr>
          <w:rFonts w:asciiTheme="minorHAnsi" w:hAnsiTheme="minorHAnsi" w:cstheme="minorHAnsi"/>
          <w:color w:val="000000"/>
          <w:sz w:val="24"/>
        </w:rPr>
        <w:t>Annual Report and Accounts</w:t>
      </w:r>
      <w:r w:rsidRPr="00677250">
        <w:rPr>
          <w:rFonts w:asciiTheme="minorHAnsi" w:hAnsiTheme="minorHAnsi" w:cstheme="minorHAnsi"/>
          <w:color w:val="000000"/>
          <w:sz w:val="24"/>
        </w:rPr>
        <w:t xml:space="preserve"> of the British Transport Police Fund. Work with </w:t>
      </w:r>
      <w:r>
        <w:rPr>
          <w:rFonts w:asciiTheme="minorHAnsi" w:hAnsiTheme="minorHAnsi" w:cstheme="minorHAnsi"/>
          <w:color w:val="000000"/>
          <w:sz w:val="24"/>
        </w:rPr>
        <w:t xml:space="preserve">external audit </w:t>
      </w:r>
      <w:r w:rsidR="00E51436">
        <w:rPr>
          <w:rFonts w:asciiTheme="minorHAnsi" w:hAnsiTheme="minorHAnsi" w:cstheme="minorHAnsi"/>
          <w:color w:val="000000"/>
          <w:sz w:val="24"/>
        </w:rPr>
        <w:t xml:space="preserve">providers </w:t>
      </w:r>
      <w:r w:rsidRPr="00677250">
        <w:rPr>
          <w:rFonts w:asciiTheme="minorHAnsi" w:hAnsiTheme="minorHAnsi" w:cstheme="minorHAnsi"/>
          <w:color w:val="000000"/>
          <w:sz w:val="24"/>
        </w:rPr>
        <w:t>and the BTP finance team to ensure an effective and efficient audit process.</w:t>
      </w:r>
    </w:p>
    <w:p w14:paraId="5D77BEA9" w14:textId="40A96972" w:rsidR="00341233" w:rsidRPr="00677250"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lastRenderedPageBreak/>
        <w:t xml:space="preserve">Maintain an assurance map to guide </w:t>
      </w:r>
      <w:r>
        <w:rPr>
          <w:rFonts w:asciiTheme="minorHAnsi" w:hAnsiTheme="minorHAnsi" w:cstheme="minorHAnsi"/>
          <w:color w:val="000000"/>
          <w:sz w:val="24"/>
        </w:rPr>
        <w:t>ARAC</w:t>
      </w:r>
      <w:r w:rsidRPr="00677250">
        <w:rPr>
          <w:rFonts w:asciiTheme="minorHAnsi" w:hAnsiTheme="minorHAnsi" w:cstheme="minorHAnsi"/>
          <w:color w:val="000000"/>
          <w:sz w:val="24"/>
        </w:rPr>
        <w:t xml:space="preserve"> and other Committees where assurance is obtained through the three Lines of Defence. </w:t>
      </w:r>
      <w:r>
        <w:rPr>
          <w:rFonts w:asciiTheme="minorHAnsi" w:hAnsiTheme="minorHAnsi" w:cstheme="minorHAnsi"/>
          <w:color w:val="000000"/>
          <w:sz w:val="24"/>
        </w:rPr>
        <w:t xml:space="preserve">Ensure continuous development and improvement </w:t>
      </w:r>
      <w:r w:rsidR="00E51436">
        <w:rPr>
          <w:rFonts w:asciiTheme="minorHAnsi" w:hAnsiTheme="minorHAnsi" w:cstheme="minorHAnsi"/>
          <w:color w:val="000000"/>
          <w:sz w:val="24"/>
        </w:rPr>
        <w:t>is adopted and that this is reflected within the</w:t>
      </w:r>
      <w:r w:rsidRPr="00677250">
        <w:rPr>
          <w:rFonts w:asciiTheme="minorHAnsi" w:hAnsiTheme="minorHAnsi" w:cstheme="minorHAnsi"/>
          <w:color w:val="000000"/>
          <w:sz w:val="24"/>
        </w:rPr>
        <w:t xml:space="preserve"> BTPA Oversight Map. </w:t>
      </w:r>
    </w:p>
    <w:p w14:paraId="7F39206F" w14:textId="76B80EF6" w:rsidR="00B00501" w:rsidRPr="00341233" w:rsidRDefault="00E51436" w:rsidP="003E493A">
      <w:pPr>
        <w:pStyle w:val="NoSpacing"/>
        <w:numPr>
          <w:ilvl w:val="0"/>
          <w:numId w:val="30"/>
        </w:numPr>
        <w:ind w:left="426" w:hanging="426"/>
        <w:rPr>
          <w:rFonts w:asciiTheme="minorHAnsi" w:hAnsiTheme="minorHAnsi" w:cstheme="minorHAnsi"/>
          <w:color w:val="000000"/>
          <w:sz w:val="24"/>
        </w:rPr>
      </w:pPr>
      <w:r w:rsidRPr="003E493A">
        <w:rPr>
          <w:rFonts w:asciiTheme="minorHAnsi" w:hAnsiTheme="minorHAnsi" w:cstheme="minorHAnsi"/>
          <w:color w:val="000000"/>
          <w:sz w:val="24"/>
        </w:rPr>
        <w:t xml:space="preserve">Represent BTPA at </w:t>
      </w:r>
      <w:r w:rsidR="00CC2E87" w:rsidRPr="00D9348A">
        <w:rPr>
          <w:rFonts w:asciiTheme="minorHAnsi" w:hAnsiTheme="minorHAnsi" w:cstheme="minorHAnsi"/>
          <w:color w:val="000000"/>
          <w:sz w:val="24"/>
        </w:rPr>
        <w:t xml:space="preserve">BTP assurance </w:t>
      </w:r>
      <w:r w:rsidR="00540B6C">
        <w:rPr>
          <w:rFonts w:asciiTheme="minorHAnsi" w:hAnsiTheme="minorHAnsi" w:cstheme="minorHAnsi"/>
          <w:color w:val="000000"/>
          <w:sz w:val="24"/>
        </w:rPr>
        <w:t>b</w:t>
      </w:r>
      <w:r w:rsidR="00CC2E87" w:rsidRPr="00D9348A">
        <w:rPr>
          <w:rFonts w:asciiTheme="minorHAnsi" w:hAnsiTheme="minorHAnsi" w:cstheme="minorHAnsi"/>
          <w:color w:val="000000"/>
          <w:sz w:val="24"/>
        </w:rPr>
        <w:t xml:space="preserve">oards </w:t>
      </w:r>
      <w:r w:rsidR="00B00501" w:rsidRPr="00F802DC">
        <w:rPr>
          <w:rFonts w:asciiTheme="minorHAnsi" w:hAnsiTheme="minorHAnsi" w:cstheme="minorHAnsi"/>
          <w:color w:val="000000"/>
          <w:sz w:val="24"/>
        </w:rPr>
        <w:t>providing</w:t>
      </w:r>
      <w:r w:rsidR="00CC2E87" w:rsidRPr="00F802DC">
        <w:rPr>
          <w:rFonts w:asciiTheme="minorHAnsi" w:hAnsiTheme="minorHAnsi" w:cstheme="minorHAnsi"/>
          <w:color w:val="000000"/>
          <w:sz w:val="24"/>
        </w:rPr>
        <w:t xml:space="preserve"> scrutiny and oversight</w:t>
      </w:r>
      <w:r w:rsidR="00B00501" w:rsidRPr="00F802DC">
        <w:rPr>
          <w:rFonts w:asciiTheme="minorHAnsi" w:hAnsiTheme="minorHAnsi" w:cstheme="minorHAnsi"/>
          <w:color w:val="000000"/>
          <w:sz w:val="24"/>
        </w:rPr>
        <w:t>.</w:t>
      </w:r>
      <w:r w:rsidR="00CC2E87" w:rsidRPr="00B00501">
        <w:rPr>
          <w:rFonts w:asciiTheme="minorHAnsi" w:hAnsiTheme="minorHAnsi" w:cstheme="minorHAnsi"/>
          <w:color w:val="000000"/>
        </w:rPr>
        <w:t xml:space="preserve"> </w:t>
      </w:r>
    </w:p>
    <w:p w14:paraId="0CA8FC92" w14:textId="77777777" w:rsidR="00CC2E87" w:rsidRPr="003E493A" w:rsidRDefault="00CC2E87" w:rsidP="00F802DC">
      <w:pPr>
        <w:pStyle w:val="NoSpacing"/>
        <w:ind w:left="426"/>
        <w:rPr>
          <w:rFonts w:asciiTheme="minorHAnsi" w:hAnsiTheme="minorHAnsi" w:cstheme="minorHAnsi"/>
          <w:color w:val="44546A"/>
          <w:sz w:val="24"/>
        </w:rPr>
      </w:pPr>
    </w:p>
    <w:p w14:paraId="49EE2B4E" w14:textId="0143571C" w:rsidR="00CC2E87" w:rsidRDefault="00CC2E87" w:rsidP="00F802DC">
      <w:pPr>
        <w:pStyle w:val="NoSpacing"/>
        <w:rPr>
          <w:rFonts w:asciiTheme="minorHAnsi" w:hAnsiTheme="minorHAnsi" w:cstheme="minorHAnsi"/>
          <w:color w:val="000000"/>
          <w:sz w:val="24"/>
          <w:u w:val="single"/>
        </w:rPr>
      </w:pPr>
      <w:r>
        <w:rPr>
          <w:rFonts w:asciiTheme="minorHAnsi" w:hAnsiTheme="minorHAnsi" w:cstheme="minorHAnsi"/>
          <w:color w:val="000000"/>
          <w:sz w:val="24"/>
          <w:u w:val="single"/>
        </w:rPr>
        <w:t>Board Reporting/Committee Management</w:t>
      </w:r>
    </w:p>
    <w:p w14:paraId="0F717723" w14:textId="77777777" w:rsidR="00CD6F82" w:rsidRPr="00677250" w:rsidRDefault="00CD6F82" w:rsidP="00341233">
      <w:pPr>
        <w:pStyle w:val="NoSpacing"/>
        <w:ind w:hanging="567"/>
        <w:rPr>
          <w:rFonts w:asciiTheme="minorHAnsi" w:hAnsiTheme="minorHAnsi" w:cstheme="minorHAnsi"/>
          <w:color w:val="000000"/>
          <w:sz w:val="24"/>
          <w:u w:val="single"/>
        </w:rPr>
      </w:pPr>
    </w:p>
    <w:p w14:paraId="51002700" w14:textId="5477D87B" w:rsidR="00CC2E87" w:rsidRPr="00677250" w:rsidRDefault="00CC2E87"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 xml:space="preserve">Manage the </w:t>
      </w:r>
      <w:r>
        <w:rPr>
          <w:rFonts w:asciiTheme="minorHAnsi" w:hAnsiTheme="minorHAnsi" w:cstheme="minorHAnsi"/>
          <w:color w:val="000000"/>
          <w:sz w:val="24"/>
        </w:rPr>
        <w:t>ARAC</w:t>
      </w:r>
      <w:r w:rsidRPr="00677250">
        <w:rPr>
          <w:rFonts w:asciiTheme="minorHAnsi" w:hAnsiTheme="minorHAnsi" w:cstheme="minorHAnsi"/>
          <w:color w:val="000000"/>
          <w:sz w:val="24"/>
        </w:rPr>
        <w:t xml:space="preserve"> throughout the year, including working directly with the CFO</w:t>
      </w:r>
      <w:r>
        <w:rPr>
          <w:rFonts w:asciiTheme="minorHAnsi" w:hAnsiTheme="minorHAnsi" w:cstheme="minorHAnsi"/>
          <w:color w:val="000000"/>
          <w:sz w:val="24"/>
        </w:rPr>
        <w:t>, Committee Chair</w:t>
      </w:r>
      <w:r w:rsidRPr="00677250">
        <w:rPr>
          <w:rFonts w:asciiTheme="minorHAnsi" w:hAnsiTheme="minorHAnsi" w:cstheme="minorHAnsi"/>
          <w:color w:val="000000"/>
          <w:sz w:val="24"/>
        </w:rPr>
        <w:t xml:space="preserve"> and </w:t>
      </w:r>
      <w:r>
        <w:rPr>
          <w:rFonts w:asciiTheme="minorHAnsi" w:hAnsiTheme="minorHAnsi" w:cstheme="minorHAnsi"/>
          <w:color w:val="000000"/>
          <w:sz w:val="24"/>
        </w:rPr>
        <w:t>Board Secretary</w:t>
      </w:r>
      <w:r w:rsidRPr="00677250">
        <w:rPr>
          <w:rFonts w:asciiTheme="minorHAnsi" w:hAnsiTheme="minorHAnsi" w:cstheme="minorHAnsi"/>
          <w:color w:val="000000"/>
          <w:sz w:val="24"/>
        </w:rPr>
        <w:t xml:space="preserve"> on the annual plans, agendas</w:t>
      </w:r>
      <w:r w:rsidR="00540B6C">
        <w:rPr>
          <w:rFonts w:asciiTheme="minorHAnsi" w:hAnsiTheme="minorHAnsi" w:cstheme="minorHAnsi"/>
          <w:color w:val="000000"/>
          <w:sz w:val="24"/>
        </w:rPr>
        <w:t>,</w:t>
      </w:r>
      <w:r>
        <w:rPr>
          <w:rFonts w:asciiTheme="minorHAnsi" w:hAnsiTheme="minorHAnsi" w:cstheme="minorHAnsi"/>
          <w:color w:val="000000"/>
          <w:sz w:val="24"/>
        </w:rPr>
        <w:t xml:space="preserve"> commissioning</w:t>
      </w:r>
      <w:r w:rsidRPr="00677250">
        <w:rPr>
          <w:rFonts w:asciiTheme="minorHAnsi" w:hAnsiTheme="minorHAnsi" w:cstheme="minorHAnsi"/>
          <w:color w:val="000000"/>
          <w:sz w:val="24"/>
        </w:rPr>
        <w:t xml:space="preserve">, preparation of </w:t>
      </w:r>
      <w:r w:rsidR="00181E6D">
        <w:rPr>
          <w:rFonts w:asciiTheme="minorHAnsi" w:hAnsiTheme="minorHAnsi" w:cstheme="minorHAnsi"/>
          <w:color w:val="000000"/>
          <w:sz w:val="24"/>
        </w:rPr>
        <w:t>dashboards/</w:t>
      </w:r>
      <w:r w:rsidRPr="00677250">
        <w:rPr>
          <w:rFonts w:asciiTheme="minorHAnsi" w:hAnsiTheme="minorHAnsi" w:cstheme="minorHAnsi"/>
          <w:color w:val="000000"/>
          <w:sz w:val="24"/>
        </w:rPr>
        <w:t>reports</w:t>
      </w:r>
      <w:r w:rsidR="00540B6C">
        <w:rPr>
          <w:rFonts w:asciiTheme="minorHAnsi" w:hAnsiTheme="minorHAnsi" w:cstheme="minorHAnsi"/>
          <w:color w:val="000000"/>
          <w:sz w:val="24"/>
        </w:rPr>
        <w:t>/</w:t>
      </w:r>
      <w:r w:rsidRPr="00677250">
        <w:rPr>
          <w:rFonts w:asciiTheme="minorHAnsi" w:hAnsiTheme="minorHAnsi" w:cstheme="minorHAnsi"/>
          <w:color w:val="000000"/>
          <w:sz w:val="24"/>
        </w:rPr>
        <w:t>papers, and review of minutes.</w:t>
      </w:r>
    </w:p>
    <w:p w14:paraId="28F41B61" w14:textId="0CB8E5BC" w:rsidR="00CC2E87" w:rsidRPr="00F802DC" w:rsidRDefault="00CC2E87" w:rsidP="00F802DC">
      <w:pPr>
        <w:pStyle w:val="NoSpacing"/>
        <w:numPr>
          <w:ilvl w:val="0"/>
          <w:numId w:val="30"/>
        </w:numPr>
        <w:ind w:left="426" w:hanging="426"/>
        <w:rPr>
          <w:rFonts w:asciiTheme="minorHAnsi" w:hAnsiTheme="minorHAnsi" w:cstheme="minorHAnsi"/>
          <w:color w:val="000000"/>
          <w:sz w:val="24"/>
        </w:rPr>
      </w:pPr>
      <w:r w:rsidRPr="00F802DC">
        <w:rPr>
          <w:rFonts w:asciiTheme="minorHAnsi" w:hAnsiTheme="minorHAnsi" w:cstheme="minorHAnsi"/>
          <w:color w:val="000000"/>
          <w:sz w:val="24"/>
        </w:rPr>
        <w:t>Maintain ARAC Member knowledge through the provision of induction information, ongoing relevant information and arranging training sessions where relevant.</w:t>
      </w:r>
    </w:p>
    <w:p w14:paraId="0FC08D80" w14:textId="6D921B17" w:rsidR="00593BED" w:rsidRDefault="00593BED" w:rsidP="00341233">
      <w:pPr>
        <w:pStyle w:val="NoSpacing"/>
        <w:outlineLvl w:val="1"/>
        <w:rPr>
          <w:rFonts w:asciiTheme="minorHAnsi" w:hAnsiTheme="minorHAnsi" w:cstheme="minorHAnsi"/>
          <w:b/>
          <w:sz w:val="24"/>
        </w:rPr>
      </w:pPr>
    </w:p>
    <w:p w14:paraId="7CE68D83" w14:textId="0EF42268" w:rsidR="00D80B52" w:rsidRDefault="00D80B52" w:rsidP="00F802DC">
      <w:pPr>
        <w:pStyle w:val="NoSpacing"/>
        <w:rPr>
          <w:rFonts w:asciiTheme="minorHAnsi" w:hAnsiTheme="minorHAnsi" w:cstheme="minorHAnsi"/>
          <w:color w:val="000000"/>
          <w:sz w:val="24"/>
          <w:u w:val="single"/>
        </w:rPr>
      </w:pPr>
      <w:bookmarkStart w:id="9" w:name="_Toc108001992"/>
      <w:r w:rsidRPr="00677250">
        <w:rPr>
          <w:rFonts w:asciiTheme="minorHAnsi" w:hAnsiTheme="minorHAnsi" w:cstheme="minorHAnsi"/>
          <w:color w:val="000000"/>
          <w:sz w:val="24"/>
          <w:u w:val="single"/>
        </w:rPr>
        <w:t>Finance</w:t>
      </w:r>
      <w:r w:rsidR="003B6117">
        <w:rPr>
          <w:rFonts w:asciiTheme="minorHAnsi" w:hAnsiTheme="minorHAnsi" w:cstheme="minorHAnsi"/>
          <w:color w:val="000000"/>
          <w:sz w:val="24"/>
          <w:u w:val="single"/>
        </w:rPr>
        <w:t>,</w:t>
      </w:r>
      <w:r w:rsidRPr="00677250">
        <w:rPr>
          <w:rFonts w:asciiTheme="minorHAnsi" w:hAnsiTheme="minorHAnsi" w:cstheme="minorHAnsi"/>
          <w:color w:val="000000"/>
          <w:sz w:val="24"/>
          <w:u w:val="single"/>
        </w:rPr>
        <w:t xml:space="preserve"> reporting</w:t>
      </w:r>
      <w:r w:rsidR="003B6117">
        <w:rPr>
          <w:rFonts w:asciiTheme="minorHAnsi" w:hAnsiTheme="minorHAnsi" w:cstheme="minorHAnsi"/>
          <w:color w:val="000000"/>
          <w:sz w:val="24"/>
          <w:u w:val="single"/>
        </w:rPr>
        <w:t xml:space="preserve"> and other</w:t>
      </w:r>
    </w:p>
    <w:p w14:paraId="46D8A099" w14:textId="77777777" w:rsidR="00CD6F82" w:rsidRPr="00677250" w:rsidRDefault="00CD6F82" w:rsidP="00341233">
      <w:pPr>
        <w:pStyle w:val="NoSpacing"/>
        <w:ind w:hanging="567"/>
        <w:rPr>
          <w:rFonts w:asciiTheme="minorHAnsi" w:hAnsiTheme="minorHAnsi" w:cstheme="minorHAnsi"/>
          <w:color w:val="000000"/>
          <w:sz w:val="24"/>
          <w:u w:val="single"/>
        </w:rPr>
      </w:pPr>
    </w:p>
    <w:p w14:paraId="33CFDB9E" w14:textId="4631E3AC" w:rsidR="00D80B52" w:rsidRPr="002E75CF" w:rsidRDefault="00D80B52"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 xml:space="preserve">Develop, </w:t>
      </w:r>
      <w:proofErr w:type="gramStart"/>
      <w:r w:rsidRPr="00677250">
        <w:rPr>
          <w:rFonts w:asciiTheme="minorHAnsi" w:hAnsiTheme="minorHAnsi" w:cstheme="minorHAnsi"/>
          <w:color w:val="000000"/>
          <w:sz w:val="24"/>
        </w:rPr>
        <w:t>monitor</w:t>
      </w:r>
      <w:proofErr w:type="gramEnd"/>
      <w:r w:rsidRPr="00677250">
        <w:rPr>
          <w:rFonts w:asciiTheme="minorHAnsi" w:hAnsiTheme="minorHAnsi" w:cstheme="minorHAnsi"/>
          <w:color w:val="000000"/>
          <w:sz w:val="24"/>
        </w:rPr>
        <w:t xml:space="preserve"> and prepare periodic reporting on the BTPA budget</w:t>
      </w:r>
      <w:r>
        <w:rPr>
          <w:rFonts w:asciiTheme="minorHAnsi" w:hAnsiTheme="minorHAnsi" w:cstheme="minorHAnsi"/>
          <w:color w:val="000000"/>
          <w:sz w:val="24"/>
        </w:rPr>
        <w:t xml:space="preserve"> of c. £2.</w:t>
      </w:r>
      <w:r w:rsidR="009C16C4">
        <w:rPr>
          <w:rFonts w:asciiTheme="minorHAnsi" w:hAnsiTheme="minorHAnsi" w:cstheme="minorHAnsi"/>
          <w:color w:val="000000"/>
          <w:sz w:val="24"/>
        </w:rPr>
        <w:t>7</w:t>
      </w:r>
      <w:r>
        <w:rPr>
          <w:rFonts w:asciiTheme="minorHAnsi" w:hAnsiTheme="minorHAnsi" w:cstheme="minorHAnsi"/>
          <w:color w:val="000000"/>
          <w:sz w:val="24"/>
        </w:rPr>
        <w:t>m</w:t>
      </w:r>
      <w:r w:rsidRPr="00677250">
        <w:rPr>
          <w:rFonts w:asciiTheme="minorHAnsi" w:hAnsiTheme="minorHAnsi" w:cstheme="minorHAnsi"/>
          <w:color w:val="000000"/>
          <w:sz w:val="24"/>
        </w:rPr>
        <w:t>.</w:t>
      </w:r>
    </w:p>
    <w:p w14:paraId="4B8AF719" w14:textId="23D8FD24" w:rsidR="00B00501" w:rsidRPr="00677250" w:rsidRDefault="00D80B52" w:rsidP="00341233">
      <w:pPr>
        <w:pStyle w:val="NoSpacing"/>
        <w:numPr>
          <w:ilvl w:val="0"/>
          <w:numId w:val="30"/>
        </w:numPr>
        <w:ind w:left="426" w:hanging="426"/>
        <w:rPr>
          <w:rFonts w:asciiTheme="minorHAnsi" w:hAnsiTheme="minorHAnsi" w:cstheme="minorHAnsi"/>
          <w:color w:val="000000"/>
          <w:sz w:val="24"/>
        </w:rPr>
      </w:pPr>
      <w:r w:rsidRPr="00677250">
        <w:rPr>
          <w:rFonts w:asciiTheme="minorHAnsi" w:hAnsiTheme="minorHAnsi" w:cstheme="minorHAnsi"/>
          <w:color w:val="000000"/>
          <w:sz w:val="24"/>
        </w:rPr>
        <w:t xml:space="preserve">Lead the </w:t>
      </w:r>
      <w:r>
        <w:rPr>
          <w:rFonts w:asciiTheme="minorHAnsi" w:hAnsiTheme="minorHAnsi" w:cstheme="minorHAnsi"/>
          <w:color w:val="000000"/>
          <w:sz w:val="24"/>
        </w:rPr>
        <w:t>BTPA</w:t>
      </w:r>
      <w:r w:rsidRPr="00677250">
        <w:rPr>
          <w:rFonts w:asciiTheme="minorHAnsi" w:hAnsiTheme="minorHAnsi" w:cstheme="minorHAnsi"/>
          <w:color w:val="000000"/>
          <w:sz w:val="24"/>
        </w:rPr>
        <w:t xml:space="preserve"> and the BTP in the preparation of the Annual Report and Account for the British Transport Police Fund. Draft sections as necessary, including the Governance Statement. Liaise with BTP Finance department, external auditors and utilise Government guidance to ensure completeness and accuracy of disclosures. </w:t>
      </w:r>
    </w:p>
    <w:p w14:paraId="77264E93" w14:textId="567417F5" w:rsidR="00B00501" w:rsidRPr="00B00501" w:rsidRDefault="00B00501" w:rsidP="003E493A">
      <w:pPr>
        <w:pStyle w:val="NoSpacing"/>
        <w:numPr>
          <w:ilvl w:val="0"/>
          <w:numId w:val="30"/>
        </w:numPr>
        <w:ind w:left="426" w:hanging="426"/>
        <w:rPr>
          <w:rFonts w:asciiTheme="minorHAnsi" w:hAnsiTheme="minorHAnsi" w:cstheme="minorHAnsi"/>
          <w:color w:val="000000"/>
          <w:sz w:val="24"/>
        </w:rPr>
      </w:pPr>
      <w:r w:rsidRPr="003E493A">
        <w:rPr>
          <w:rFonts w:asciiTheme="minorHAnsi" w:hAnsiTheme="minorHAnsi" w:cstheme="minorHAnsi"/>
          <w:color w:val="000000"/>
          <w:sz w:val="24"/>
        </w:rPr>
        <w:t xml:space="preserve">Lead </w:t>
      </w:r>
      <w:r w:rsidRPr="00D9348A">
        <w:rPr>
          <w:rFonts w:asciiTheme="minorHAnsi" w:hAnsiTheme="minorHAnsi" w:cstheme="minorHAnsi"/>
          <w:color w:val="000000"/>
          <w:sz w:val="24"/>
        </w:rPr>
        <w:t xml:space="preserve">on day to day BTPA </w:t>
      </w:r>
      <w:r w:rsidRPr="00B00501">
        <w:rPr>
          <w:rFonts w:asciiTheme="minorHAnsi" w:hAnsiTheme="minorHAnsi" w:cstheme="minorHAnsi"/>
          <w:color w:val="000000"/>
          <w:sz w:val="24"/>
        </w:rPr>
        <w:t>financial activity including</w:t>
      </w:r>
      <w:r w:rsidR="00283B7E">
        <w:rPr>
          <w:rFonts w:asciiTheme="minorHAnsi" w:hAnsiTheme="minorHAnsi" w:cstheme="minorHAnsi"/>
          <w:color w:val="000000"/>
          <w:sz w:val="24"/>
        </w:rPr>
        <w:t>,</w:t>
      </w:r>
      <w:r w:rsidRPr="00B00501">
        <w:rPr>
          <w:rFonts w:asciiTheme="minorHAnsi" w:hAnsiTheme="minorHAnsi" w:cstheme="minorHAnsi"/>
          <w:color w:val="000000"/>
          <w:sz w:val="24"/>
        </w:rPr>
        <w:t xml:space="preserve"> but not limited to</w:t>
      </w:r>
      <w:r w:rsidR="00283B7E">
        <w:rPr>
          <w:rFonts w:asciiTheme="minorHAnsi" w:hAnsiTheme="minorHAnsi" w:cstheme="minorHAnsi"/>
          <w:color w:val="000000"/>
          <w:sz w:val="24"/>
        </w:rPr>
        <w:t>,</w:t>
      </w:r>
      <w:r w:rsidRPr="00B00501">
        <w:rPr>
          <w:rFonts w:asciiTheme="minorHAnsi" w:hAnsiTheme="minorHAnsi" w:cstheme="minorHAnsi"/>
          <w:color w:val="000000"/>
          <w:sz w:val="24"/>
        </w:rPr>
        <w:t xml:space="preserve"> purchase orders and other transactions, applying best practice principles.</w:t>
      </w:r>
    </w:p>
    <w:p w14:paraId="16505F94" w14:textId="6FF1F10B" w:rsidR="00D80B52" w:rsidRPr="002E75CF" w:rsidRDefault="00181E6D" w:rsidP="00341233">
      <w:pPr>
        <w:pStyle w:val="NoSpacing"/>
        <w:numPr>
          <w:ilvl w:val="0"/>
          <w:numId w:val="30"/>
        </w:numPr>
        <w:ind w:left="426" w:hanging="426"/>
        <w:rPr>
          <w:rFonts w:asciiTheme="minorHAnsi" w:hAnsiTheme="minorHAnsi" w:cstheme="minorHAnsi"/>
          <w:sz w:val="24"/>
        </w:rPr>
      </w:pPr>
      <w:r>
        <w:rPr>
          <w:rFonts w:asciiTheme="minorHAnsi" w:hAnsiTheme="minorHAnsi" w:cstheme="minorHAnsi"/>
          <w:sz w:val="24"/>
        </w:rPr>
        <w:t xml:space="preserve">Apply </w:t>
      </w:r>
      <w:r w:rsidR="00D80B52">
        <w:rPr>
          <w:rFonts w:asciiTheme="minorHAnsi" w:hAnsiTheme="minorHAnsi" w:cstheme="minorHAnsi"/>
          <w:sz w:val="24"/>
        </w:rPr>
        <w:t xml:space="preserve">relevant </w:t>
      </w:r>
      <w:r w:rsidR="00D80B52" w:rsidRPr="00677250">
        <w:rPr>
          <w:rFonts w:asciiTheme="minorHAnsi" w:hAnsiTheme="minorHAnsi" w:cstheme="minorHAnsi"/>
          <w:sz w:val="24"/>
        </w:rPr>
        <w:t>Government guidance</w:t>
      </w:r>
      <w:r>
        <w:rPr>
          <w:rFonts w:asciiTheme="minorHAnsi" w:hAnsiTheme="minorHAnsi" w:cstheme="minorHAnsi"/>
          <w:sz w:val="24"/>
        </w:rPr>
        <w:t>, e.g.</w:t>
      </w:r>
      <w:r w:rsidR="00D80B52" w:rsidRPr="00677250">
        <w:rPr>
          <w:rFonts w:asciiTheme="minorHAnsi" w:hAnsiTheme="minorHAnsi" w:cstheme="minorHAnsi"/>
          <w:sz w:val="24"/>
        </w:rPr>
        <w:t xml:space="preserve"> ‘Managing Public Money’</w:t>
      </w:r>
      <w:r>
        <w:rPr>
          <w:rFonts w:asciiTheme="minorHAnsi" w:hAnsiTheme="minorHAnsi" w:cstheme="minorHAnsi"/>
          <w:sz w:val="24"/>
        </w:rPr>
        <w:t xml:space="preserve"> in decision making.</w:t>
      </w:r>
    </w:p>
    <w:p w14:paraId="246F7CE5" w14:textId="17687AAD" w:rsidR="00D80B52" w:rsidRPr="00CD6F82" w:rsidRDefault="00D80B52" w:rsidP="00341233">
      <w:pPr>
        <w:pStyle w:val="NoSpacing"/>
        <w:numPr>
          <w:ilvl w:val="0"/>
          <w:numId w:val="30"/>
        </w:numPr>
        <w:ind w:left="426" w:hanging="426"/>
        <w:rPr>
          <w:rFonts w:asciiTheme="minorHAnsi" w:hAnsiTheme="minorHAnsi" w:cstheme="minorHAnsi"/>
          <w:sz w:val="24"/>
        </w:rPr>
      </w:pPr>
      <w:r w:rsidRPr="00677250">
        <w:rPr>
          <w:rFonts w:asciiTheme="minorHAnsi" w:hAnsiTheme="minorHAnsi" w:cstheme="minorHAnsi"/>
          <w:color w:val="000000"/>
          <w:sz w:val="24"/>
        </w:rPr>
        <w:t>Liaise with the DfT to establish reporting requirements to DfT and co-ordination of statutory and non-statutory returns to the DfT and other government bodies. Provide assurance over these prior to submission.</w:t>
      </w:r>
    </w:p>
    <w:p w14:paraId="1E370309" w14:textId="2FB92D48" w:rsidR="003B6117" w:rsidRPr="00677250" w:rsidRDefault="003B6117" w:rsidP="00341233">
      <w:pPr>
        <w:pStyle w:val="NoSpacing"/>
        <w:numPr>
          <w:ilvl w:val="0"/>
          <w:numId w:val="30"/>
        </w:numPr>
        <w:ind w:left="426" w:hanging="426"/>
        <w:rPr>
          <w:rFonts w:asciiTheme="minorHAnsi" w:hAnsiTheme="minorHAnsi" w:cstheme="minorHAnsi"/>
          <w:sz w:val="24"/>
        </w:rPr>
      </w:pPr>
      <w:r w:rsidRPr="003B6117">
        <w:rPr>
          <w:rFonts w:asciiTheme="minorHAnsi" w:hAnsiTheme="minorHAnsi" w:cstheme="minorHAnsi"/>
          <w:sz w:val="24"/>
        </w:rPr>
        <w:t>When needed, assist other members of BTPA on priority work areas.</w:t>
      </w:r>
    </w:p>
    <w:p w14:paraId="30E51ABA" w14:textId="77777777" w:rsidR="00D80B52" w:rsidRDefault="00D80B52" w:rsidP="00341233">
      <w:pPr>
        <w:pStyle w:val="NoSpacing"/>
        <w:ind w:hanging="567"/>
        <w:outlineLvl w:val="1"/>
        <w:rPr>
          <w:rFonts w:asciiTheme="minorHAnsi" w:hAnsiTheme="minorHAnsi" w:cstheme="minorHAnsi"/>
          <w:b/>
          <w:sz w:val="24"/>
        </w:rPr>
      </w:pPr>
    </w:p>
    <w:p w14:paraId="47CE2888" w14:textId="3A171879" w:rsidR="00677250" w:rsidRPr="00677250" w:rsidRDefault="00677250" w:rsidP="00341233">
      <w:pPr>
        <w:pStyle w:val="NoSpacing"/>
        <w:outlineLvl w:val="1"/>
        <w:rPr>
          <w:rFonts w:asciiTheme="minorHAnsi" w:hAnsiTheme="minorHAnsi" w:cstheme="minorHAnsi"/>
          <w:b/>
          <w:sz w:val="24"/>
        </w:rPr>
      </w:pPr>
      <w:r w:rsidRPr="00677250">
        <w:rPr>
          <w:rFonts w:asciiTheme="minorHAnsi" w:hAnsiTheme="minorHAnsi" w:cstheme="minorHAnsi"/>
          <w:b/>
          <w:sz w:val="24"/>
        </w:rPr>
        <w:t>Knowledge, Skills and Experience</w:t>
      </w:r>
      <w:bookmarkEnd w:id="9"/>
    </w:p>
    <w:p w14:paraId="4AF5C079" w14:textId="77777777" w:rsidR="00677250" w:rsidRPr="00677250" w:rsidRDefault="00677250" w:rsidP="00341233">
      <w:pPr>
        <w:pStyle w:val="NoSpacing"/>
        <w:rPr>
          <w:rFonts w:asciiTheme="minorHAnsi" w:hAnsiTheme="minorHAnsi" w:cstheme="minorHAnsi"/>
          <w:b/>
          <w:sz w:val="24"/>
        </w:rPr>
      </w:pPr>
    </w:p>
    <w:p w14:paraId="3468AC54" w14:textId="1659ED4E" w:rsidR="00677250" w:rsidRPr="00677250" w:rsidRDefault="00677250" w:rsidP="00341233">
      <w:pPr>
        <w:pStyle w:val="NoSpacing"/>
        <w:rPr>
          <w:rFonts w:asciiTheme="minorHAnsi" w:hAnsiTheme="minorHAnsi" w:cstheme="minorHAnsi"/>
          <w:sz w:val="24"/>
        </w:rPr>
      </w:pPr>
      <w:r w:rsidRPr="00677250">
        <w:rPr>
          <w:rFonts w:asciiTheme="minorHAnsi" w:hAnsiTheme="minorHAnsi" w:cstheme="minorHAnsi"/>
          <w:sz w:val="24"/>
          <w:u w:val="single"/>
        </w:rPr>
        <w:t>Essential</w:t>
      </w:r>
    </w:p>
    <w:p w14:paraId="6363DC65" w14:textId="0212D750" w:rsidR="003E493A" w:rsidRDefault="003E493A" w:rsidP="00341233">
      <w:pPr>
        <w:pStyle w:val="NoSpacing"/>
        <w:numPr>
          <w:ilvl w:val="0"/>
          <w:numId w:val="23"/>
        </w:numPr>
        <w:ind w:left="426" w:hanging="426"/>
        <w:rPr>
          <w:rFonts w:asciiTheme="minorHAnsi" w:hAnsiTheme="minorHAnsi" w:cstheme="minorHAnsi"/>
          <w:sz w:val="24"/>
        </w:rPr>
      </w:pPr>
      <w:r>
        <w:rPr>
          <w:rFonts w:asciiTheme="minorHAnsi" w:hAnsiTheme="minorHAnsi" w:cstheme="minorHAnsi"/>
          <w:sz w:val="24"/>
        </w:rPr>
        <w:t xml:space="preserve">Educated to degree level in a relevant subject or equivalent training and experience  </w:t>
      </w:r>
    </w:p>
    <w:p w14:paraId="59F407B9" w14:textId="5663E9ED" w:rsidR="002A053D" w:rsidRDefault="00341233" w:rsidP="00341233">
      <w:pPr>
        <w:pStyle w:val="NoSpacing"/>
        <w:numPr>
          <w:ilvl w:val="0"/>
          <w:numId w:val="23"/>
        </w:numPr>
        <w:ind w:left="426" w:hanging="426"/>
        <w:rPr>
          <w:rFonts w:asciiTheme="minorHAnsi" w:hAnsiTheme="minorHAnsi" w:cstheme="minorHAnsi"/>
          <w:sz w:val="24"/>
        </w:rPr>
      </w:pPr>
      <w:r>
        <w:rPr>
          <w:rFonts w:asciiTheme="minorHAnsi" w:hAnsiTheme="minorHAnsi" w:cstheme="minorHAnsi"/>
          <w:sz w:val="24"/>
        </w:rPr>
        <w:t>Proven e</w:t>
      </w:r>
      <w:r w:rsidR="00677250" w:rsidRPr="00677250">
        <w:rPr>
          <w:rFonts w:asciiTheme="minorHAnsi" w:hAnsiTheme="minorHAnsi" w:cstheme="minorHAnsi"/>
          <w:sz w:val="24"/>
        </w:rPr>
        <w:t xml:space="preserve">xperience of </w:t>
      </w:r>
      <w:r>
        <w:rPr>
          <w:rFonts w:asciiTheme="minorHAnsi" w:hAnsiTheme="minorHAnsi" w:cstheme="minorHAnsi"/>
          <w:sz w:val="24"/>
        </w:rPr>
        <w:t xml:space="preserve">leading </w:t>
      </w:r>
      <w:r w:rsidR="002A053D" w:rsidRPr="00677250">
        <w:rPr>
          <w:rFonts w:asciiTheme="minorHAnsi" w:hAnsiTheme="minorHAnsi" w:cstheme="minorHAnsi"/>
          <w:sz w:val="24"/>
        </w:rPr>
        <w:t>risk management proc</w:t>
      </w:r>
      <w:r>
        <w:rPr>
          <w:rFonts w:asciiTheme="minorHAnsi" w:hAnsiTheme="minorHAnsi" w:cstheme="minorHAnsi"/>
          <w:sz w:val="24"/>
        </w:rPr>
        <w:t>edures</w:t>
      </w:r>
    </w:p>
    <w:p w14:paraId="2EA7ED7B" w14:textId="5211FD64" w:rsidR="00677250" w:rsidRDefault="00BD4670" w:rsidP="00341233">
      <w:pPr>
        <w:pStyle w:val="NoSpacing"/>
        <w:numPr>
          <w:ilvl w:val="0"/>
          <w:numId w:val="23"/>
        </w:numPr>
        <w:ind w:left="426" w:hanging="426"/>
        <w:rPr>
          <w:rFonts w:asciiTheme="minorHAnsi" w:hAnsiTheme="minorHAnsi" w:cstheme="minorHAnsi"/>
          <w:sz w:val="24"/>
        </w:rPr>
      </w:pPr>
      <w:r>
        <w:rPr>
          <w:rFonts w:asciiTheme="minorHAnsi" w:hAnsiTheme="minorHAnsi" w:cstheme="minorHAnsi"/>
          <w:sz w:val="24"/>
        </w:rPr>
        <w:t>Proven</w:t>
      </w:r>
      <w:r w:rsidR="003E493A">
        <w:rPr>
          <w:rFonts w:asciiTheme="minorHAnsi" w:hAnsiTheme="minorHAnsi" w:cstheme="minorHAnsi"/>
          <w:sz w:val="24"/>
        </w:rPr>
        <w:t xml:space="preserve"> e</w:t>
      </w:r>
      <w:r w:rsidR="002A053D">
        <w:rPr>
          <w:rFonts w:asciiTheme="minorHAnsi" w:hAnsiTheme="minorHAnsi" w:cstheme="minorHAnsi"/>
          <w:sz w:val="24"/>
        </w:rPr>
        <w:t xml:space="preserve">xperience of </w:t>
      </w:r>
      <w:r w:rsidR="0076655C">
        <w:rPr>
          <w:rFonts w:asciiTheme="minorHAnsi" w:hAnsiTheme="minorHAnsi" w:cstheme="minorHAnsi"/>
          <w:sz w:val="24"/>
        </w:rPr>
        <w:t>engaging</w:t>
      </w:r>
      <w:r w:rsidR="002A053D">
        <w:rPr>
          <w:rFonts w:asciiTheme="minorHAnsi" w:hAnsiTheme="minorHAnsi" w:cstheme="minorHAnsi"/>
          <w:sz w:val="24"/>
        </w:rPr>
        <w:t xml:space="preserve"> with </w:t>
      </w:r>
      <w:r w:rsidR="00677250" w:rsidRPr="00677250">
        <w:rPr>
          <w:rFonts w:asciiTheme="minorHAnsi" w:hAnsiTheme="minorHAnsi" w:cstheme="minorHAnsi"/>
          <w:sz w:val="24"/>
        </w:rPr>
        <w:t>audit</w:t>
      </w:r>
      <w:r>
        <w:rPr>
          <w:rFonts w:asciiTheme="minorHAnsi" w:hAnsiTheme="minorHAnsi" w:cstheme="minorHAnsi"/>
          <w:sz w:val="24"/>
        </w:rPr>
        <w:t xml:space="preserve"> providers</w:t>
      </w:r>
      <w:r w:rsidR="00677250" w:rsidRPr="00677250">
        <w:rPr>
          <w:rFonts w:asciiTheme="minorHAnsi" w:hAnsiTheme="minorHAnsi" w:cstheme="minorHAnsi"/>
          <w:sz w:val="24"/>
        </w:rPr>
        <w:t xml:space="preserve"> (internal/external)</w:t>
      </w:r>
      <w:r w:rsidR="0076655C">
        <w:rPr>
          <w:rFonts w:asciiTheme="minorHAnsi" w:hAnsiTheme="minorHAnsi" w:cstheme="minorHAnsi"/>
          <w:sz w:val="24"/>
        </w:rPr>
        <w:t xml:space="preserve"> and understanding their role in providing assurance</w:t>
      </w:r>
    </w:p>
    <w:p w14:paraId="22B30D98" w14:textId="3A939B49" w:rsidR="00BD4670" w:rsidRPr="00677250" w:rsidRDefault="00BD4670" w:rsidP="00341233">
      <w:pPr>
        <w:pStyle w:val="NoSpacing"/>
        <w:numPr>
          <w:ilvl w:val="0"/>
          <w:numId w:val="23"/>
        </w:numPr>
        <w:ind w:left="426" w:hanging="426"/>
        <w:rPr>
          <w:rFonts w:asciiTheme="minorHAnsi" w:hAnsiTheme="minorHAnsi" w:cstheme="minorHAnsi"/>
          <w:sz w:val="24"/>
        </w:rPr>
      </w:pPr>
      <w:r>
        <w:rPr>
          <w:rFonts w:asciiTheme="minorHAnsi" w:hAnsiTheme="minorHAnsi" w:cstheme="minorHAnsi"/>
          <w:sz w:val="24"/>
        </w:rPr>
        <w:t>A background in financial management with responsibility for a budget</w:t>
      </w:r>
    </w:p>
    <w:p w14:paraId="063183B0" w14:textId="04A8C642" w:rsidR="00677250" w:rsidRDefault="00BD4670" w:rsidP="00341233">
      <w:pPr>
        <w:pStyle w:val="NoSpacing"/>
        <w:numPr>
          <w:ilvl w:val="0"/>
          <w:numId w:val="23"/>
        </w:numPr>
        <w:ind w:left="426" w:hanging="426"/>
        <w:rPr>
          <w:rFonts w:asciiTheme="minorHAnsi" w:hAnsiTheme="minorHAnsi" w:cstheme="minorHAnsi"/>
          <w:sz w:val="24"/>
        </w:rPr>
      </w:pPr>
      <w:r>
        <w:rPr>
          <w:rFonts w:asciiTheme="minorHAnsi" w:hAnsiTheme="minorHAnsi" w:cstheme="minorHAnsi"/>
          <w:sz w:val="24"/>
        </w:rPr>
        <w:t xml:space="preserve">Excellent </w:t>
      </w:r>
      <w:r w:rsidR="00677250" w:rsidRPr="00677250">
        <w:rPr>
          <w:rFonts w:asciiTheme="minorHAnsi" w:hAnsiTheme="minorHAnsi" w:cstheme="minorHAnsi"/>
          <w:sz w:val="24"/>
        </w:rPr>
        <w:t>communication and influencing skills with the ability to manage multiple stakeholders, and be able to present complex reports and information in high quality, concise and easy to understand formats</w:t>
      </w:r>
    </w:p>
    <w:p w14:paraId="6BD18086" w14:textId="400AAE72" w:rsidR="00677250" w:rsidRPr="00F802DC" w:rsidRDefault="00BD4670" w:rsidP="00181E6D">
      <w:pPr>
        <w:pStyle w:val="NoSpacing"/>
        <w:numPr>
          <w:ilvl w:val="0"/>
          <w:numId w:val="23"/>
        </w:numPr>
        <w:ind w:left="426" w:hanging="426"/>
        <w:rPr>
          <w:rFonts w:asciiTheme="minorHAnsi" w:hAnsiTheme="minorHAnsi" w:cstheme="minorHAnsi"/>
          <w:sz w:val="24"/>
        </w:rPr>
      </w:pPr>
      <w:r w:rsidRPr="00677250">
        <w:rPr>
          <w:rFonts w:asciiTheme="minorHAnsi" w:hAnsiTheme="minorHAnsi" w:cstheme="minorHAnsi"/>
          <w:sz w:val="24"/>
        </w:rPr>
        <w:t>Knowledge of internal controls</w:t>
      </w:r>
    </w:p>
    <w:p w14:paraId="5F3C84D9" w14:textId="63B07BA1" w:rsidR="00677250" w:rsidRPr="00677250" w:rsidRDefault="00677250" w:rsidP="00341233">
      <w:pPr>
        <w:pStyle w:val="NoSpacing"/>
        <w:numPr>
          <w:ilvl w:val="0"/>
          <w:numId w:val="23"/>
        </w:numPr>
        <w:ind w:left="426" w:hanging="426"/>
        <w:rPr>
          <w:rFonts w:asciiTheme="minorHAnsi" w:hAnsiTheme="minorHAnsi" w:cstheme="minorHAnsi"/>
          <w:sz w:val="24"/>
        </w:rPr>
      </w:pPr>
      <w:r w:rsidRPr="00677250">
        <w:rPr>
          <w:rFonts w:asciiTheme="minorHAnsi" w:hAnsiTheme="minorHAnsi" w:cstheme="minorHAnsi"/>
          <w:sz w:val="24"/>
        </w:rPr>
        <w:t xml:space="preserve">High level of Microsoft </w:t>
      </w:r>
      <w:r w:rsidR="003D46BA">
        <w:rPr>
          <w:rFonts w:asciiTheme="minorHAnsi" w:hAnsiTheme="minorHAnsi" w:cstheme="minorHAnsi"/>
          <w:sz w:val="24"/>
        </w:rPr>
        <w:t>365</w:t>
      </w:r>
      <w:r w:rsidRPr="00677250">
        <w:rPr>
          <w:rFonts w:asciiTheme="minorHAnsi" w:hAnsiTheme="minorHAnsi" w:cstheme="minorHAnsi"/>
          <w:sz w:val="24"/>
        </w:rPr>
        <w:t>, especially Excel</w:t>
      </w:r>
    </w:p>
    <w:p w14:paraId="09D4A228" w14:textId="25A82FE5" w:rsidR="00341233" w:rsidRPr="00181E6D" w:rsidRDefault="00677250" w:rsidP="00181E6D">
      <w:pPr>
        <w:pStyle w:val="NoSpacing"/>
        <w:numPr>
          <w:ilvl w:val="0"/>
          <w:numId w:val="23"/>
        </w:numPr>
        <w:ind w:left="426" w:hanging="426"/>
        <w:rPr>
          <w:rFonts w:asciiTheme="minorHAnsi" w:hAnsiTheme="minorHAnsi" w:cstheme="minorHAnsi"/>
          <w:sz w:val="24"/>
        </w:rPr>
      </w:pPr>
      <w:r w:rsidRPr="00181E6D">
        <w:rPr>
          <w:rFonts w:asciiTheme="minorHAnsi" w:hAnsiTheme="minorHAnsi" w:cstheme="minorHAnsi"/>
          <w:sz w:val="24"/>
        </w:rPr>
        <w:t xml:space="preserve">Strong organisational </w:t>
      </w:r>
      <w:r w:rsidRPr="00F802DC">
        <w:rPr>
          <w:rFonts w:asciiTheme="minorHAnsi" w:hAnsiTheme="minorHAnsi" w:cstheme="minorHAnsi"/>
          <w:sz w:val="24"/>
        </w:rPr>
        <w:t>skills, including the ability to forward-plan and prioritise work to meet deadlines</w:t>
      </w:r>
      <w:r w:rsidR="0043375B" w:rsidRPr="00F802DC">
        <w:rPr>
          <w:rFonts w:asciiTheme="minorHAnsi" w:hAnsiTheme="minorHAnsi" w:cstheme="minorHAnsi"/>
          <w:sz w:val="24"/>
        </w:rPr>
        <w:t xml:space="preserve"> and </w:t>
      </w:r>
      <w:r w:rsidR="0043375B">
        <w:rPr>
          <w:rFonts w:asciiTheme="minorHAnsi" w:hAnsiTheme="minorHAnsi" w:cstheme="minorHAnsi"/>
          <w:sz w:val="24"/>
        </w:rPr>
        <w:t>s</w:t>
      </w:r>
      <w:r w:rsidRPr="00181E6D">
        <w:rPr>
          <w:rFonts w:asciiTheme="minorHAnsi" w:hAnsiTheme="minorHAnsi" w:cstheme="minorHAnsi"/>
          <w:sz w:val="24"/>
        </w:rPr>
        <w:t>trong sense of ownership and accountability</w:t>
      </w:r>
    </w:p>
    <w:p w14:paraId="1A88ABA0" w14:textId="77777777" w:rsidR="00677250" w:rsidRPr="00677250" w:rsidRDefault="00677250" w:rsidP="00341233">
      <w:pPr>
        <w:pStyle w:val="NoSpacing"/>
        <w:ind w:hanging="567"/>
        <w:rPr>
          <w:rFonts w:asciiTheme="minorHAnsi" w:hAnsiTheme="minorHAnsi" w:cstheme="minorHAnsi"/>
          <w:sz w:val="24"/>
        </w:rPr>
      </w:pPr>
    </w:p>
    <w:p w14:paraId="082CDFC9" w14:textId="77777777" w:rsidR="00677250" w:rsidRPr="00677250" w:rsidRDefault="00677250" w:rsidP="00341233">
      <w:pPr>
        <w:pStyle w:val="NoSpacing"/>
        <w:rPr>
          <w:rFonts w:asciiTheme="minorHAnsi" w:hAnsiTheme="minorHAnsi" w:cstheme="minorHAnsi"/>
          <w:sz w:val="24"/>
          <w:u w:val="single"/>
        </w:rPr>
      </w:pPr>
      <w:r w:rsidRPr="00677250">
        <w:rPr>
          <w:rFonts w:asciiTheme="minorHAnsi" w:hAnsiTheme="minorHAnsi" w:cstheme="minorHAnsi"/>
          <w:sz w:val="24"/>
          <w:u w:val="single"/>
        </w:rPr>
        <w:t>Desirable</w:t>
      </w:r>
    </w:p>
    <w:p w14:paraId="447078EB" w14:textId="6F617D3E" w:rsidR="00D9348A" w:rsidRPr="00D9348A" w:rsidRDefault="00D9348A" w:rsidP="00D9348A">
      <w:pPr>
        <w:pStyle w:val="NoSpacing"/>
        <w:numPr>
          <w:ilvl w:val="0"/>
          <w:numId w:val="24"/>
        </w:numPr>
        <w:ind w:left="426" w:hanging="426"/>
        <w:rPr>
          <w:rFonts w:asciiTheme="minorHAnsi" w:hAnsiTheme="minorHAnsi" w:cstheme="minorHAnsi"/>
          <w:sz w:val="24"/>
        </w:rPr>
      </w:pPr>
      <w:r>
        <w:rPr>
          <w:rFonts w:asciiTheme="minorHAnsi" w:hAnsiTheme="minorHAnsi" w:cstheme="minorHAnsi"/>
          <w:sz w:val="24"/>
        </w:rPr>
        <w:t xml:space="preserve">A formal qualification in Risk or Assurance </w:t>
      </w:r>
    </w:p>
    <w:p w14:paraId="435EC7CC" w14:textId="2C7FF897" w:rsidR="00677250" w:rsidRPr="00677250" w:rsidRDefault="00677250" w:rsidP="00341233">
      <w:pPr>
        <w:pStyle w:val="NoSpacing"/>
        <w:numPr>
          <w:ilvl w:val="0"/>
          <w:numId w:val="24"/>
        </w:numPr>
        <w:ind w:left="426" w:hanging="426"/>
        <w:rPr>
          <w:rFonts w:asciiTheme="minorHAnsi" w:hAnsiTheme="minorHAnsi" w:cstheme="minorHAnsi"/>
          <w:sz w:val="24"/>
        </w:rPr>
      </w:pPr>
      <w:r w:rsidRPr="00677250">
        <w:rPr>
          <w:rFonts w:asciiTheme="minorHAnsi" w:hAnsiTheme="minorHAnsi" w:cstheme="minorHAnsi"/>
          <w:sz w:val="24"/>
        </w:rPr>
        <w:t>Knowledge of the police, public sector and</w:t>
      </w:r>
      <w:r w:rsidR="003D46BA">
        <w:rPr>
          <w:rFonts w:asciiTheme="minorHAnsi" w:hAnsiTheme="minorHAnsi" w:cstheme="minorHAnsi"/>
          <w:sz w:val="24"/>
        </w:rPr>
        <w:t>/or</w:t>
      </w:r>
      <w:r w:rsidRPr="00677250">
        <w:rPr>
          <w:rFonts w:asciiTheme="minorHAnsi" w:hAnsiTheme="minorHAnsi" w:cstheme="minorHAnsi"/>
          <w:sz w:val="24"/>
        </w:rPr>
        <w:t xml:space="preserve"> rail industry</w:t>
      </w:r>
    </w:p>
    <w:p w14:paraId="4D938EC2" w14:textId="77777777" w:rsidR="000C16EC" w:rsidRPr="00677250" w:rsidRDefault="00223214" w:rsidP="00341233">
      <w:pPr>
        <w:pStyle w:val="Heading1"/>
        <w:ind w:left="0"/>
        <w:rPr>
          <w:rFonts w:asciiTheme="minorHAnsi" w:hAnsiTheme="minorHAnsi" w:cstheme="minorHAnsi"/>
          <w:sz w:val="28"/>
          <w:szCs w:val="28"/>
        </w:rPr>
      </w:pPr>
      <w:r w:rsidRPr="00677250">
        <w:rPr>
          <w:rStyle w:val="Itemreference"/>
          <w:rFonts w:asciiTheme="minorHAnsi" w:hAnsiTheme="minorHAnsi" w:cstheme="minorHAnsi"/>
          <w:sz w:val="24"/>
          <w:szCs w:val="24"/>
        </w:rPr>
        <w:br w:type="page"/>
      </w:r>
      <w:bookmarkStart w:id="10" w:name="_Toc232487061"/>
      <w:bookmarkStart w:id="11" w:name="_Toc494811041"/>
      <w:bookmarkStart w:id="12" w:name="_Toc108001995"/>
      <w:r w:rsidR="00EA096B" w:rsidRPr="00677250">
        <w:rPr>
          <w:rFonts w:asciiTheme="minorHAnsi" w:hAnsiTheme="minorHAnsi" w:cstheme="minorHAnsi"/>
          <w:szCs w:val="28"/>
        </w:rPr>
        <w:lastRenderedPageBreak/>
        <w:t>Remun</w:t>
      </w:r>
      <w:r w:rsidR="000C16EC" w:rsidRPr="00677250">
        <w:rPr>
          <w:rFonts w:asciiTheme="minorHAnsi" w:hAnsiTheme="minorHAnsi" w:cstheme="minorHAnsi"/>
          <w:szCs w:val="28"/>
        </w:rPr>
        <w:t>eration package</w:t>
      </w:r>
      <w:bookmarkEnd w:id="10"/>
      <w:bookmarkEnd w:id="11"/>
      <w:bookmarkEnd w:id="12"/>
    </w:p>
    <w:p w14:paraId="30D87521" w14:textId="4839E9B8" w:rsidR="00C9465A" w:rsidRPr="00677250" w:rsidRDefault="00F450A0" w:rsidP="00341233">
      <w:pPr>
        <w:rPr>
          <w:rFonts w:asciiTheme="minorHAnsi" w:hAnsiTheme="minorHAnsi" w:cstheme="minorHAnsi"/>
          <w:szCs w:val="24"/>
        </w:rPr>
      </w:pPr>
      <w:bookmarkStart w:id="13" w:name="OLE_LINK2"/>
      <w:bookmarkStart w:id="14" w:name="OLE_LINK3"/>
      <w:r w:rsidRPr="00677250">
        <w:rPr>
          <w:rFonts w:asciiTheme="minorHAnsi" w:hAnsiTheme="minorHAnsi" w:cstheme="minorHAnsi"/>
          <w:szCs w:val="24"/>
        </w:rPr>
        <w:t xml:space="preserve">The </w:t>
      </w:r>
      <w:r w:rsidR="003D46BA">
        <w:rPr>
          <w:rFonts w:asciiTheme="minorHAnsi" w:hAnsiTheme="minorHAnsi" w:cstheme="minorHAnsi"/>
          <w:szCs w:val="24"/>
        </w:rPr>
        <w:t>post is graded as C</w:t>
      </w:r>
      <w:r w:rsidR="00D01C3D">
        <w:rPr>
          <w:rFonts w:asciiTheme="minorHAnsi" w:hAnsiTheme="minorHAnsi" w:cstheme="minorHAnsi"/>
          <w:szCs w:val="24"/>
        </w:rPr>
        <w:t>00</w:t>
      </w:r>
      <w:r w:rsidR="003D46BA">
        <w:rPr>
          <w:rFonts w:asciiTheme="minorHAnsi" w:hAnsiTheme="minorHAnsi" w:cstheme="minorHAnsi"/>
          <w:szCs w:val="24"/>
        </w:rPr>
        <w:t xml:space="preserve">1 and the </w:t>
      </w:r>
      <w:r w:rsidR="00255712" w:rsidRPr="00677250">
        <w:rPr>
          <w:rFonts w:asciiTheme="minorHAnsi" w:hAnsiTheme="minorHAnsi" w:cstheme="minorHAnsi"/>
          <w:szCs w:val="24"/>
        </w:rPr>
        <w:t>salary</w:t>
      </w:r>
      <w:r w:rsidR="001A1752" w:rsidRPr="00677250">
        <w:rPr>
          <w:rFonts w:asciiTheme="minorHAnsi" w:hAnsiTheme="minorHAnsi" w:cstheme="minorHAnsi"/>
          <w:szCs w:val="24"/>
        </w:rPr>
        <w:t xml:space="preserve"> is on a seven-point scale </w:t>
      </w:r>
      <w:r w:rsidR="005A3F8F" w:rsidRPr="00677250">
        <w:rPr>
          <w:rFonts w:asciiTheme="minorHAnsi" w:hAnsiTheme="minorHAnsi" w:cstheme="minorHAnsi"/>
          <w:szCs w:val="24"/>
        </w:rPr>
        <w:t xml:space="preserve">from </w:t>
      </w:r>
      <w:r w:rsidR="005A3F8F" w:rsidRPr="00CE2FC7">
        <w:rPr>
          <w:rFonts w:asciiTheme="minorHAnsi" w:hAnsiTheme="minorHAnsi" w:cstheme="minorHAnsi"/>
          <w:szCs w:val="24"/>
        </w:rPr>
        <w:t>£</w:t>
      </w:r>
      <w:r w:rsidR="004B6178" w:rsidRPr="00CE2FC7">
        <w:rPr>
          <w:rFonts w:asciiTheme="minorHAnsi" w:hAnsiTheme="minorHAnsi" w:cstheme="minorHAnsi"/>
          <w:szCs w:val="24"/>
        </w:rPr>
        <w:t>5</w:t>
      </w:r>
      <w:r w:rsidR="00EB7F1E" w:rsidRPr="00CE2FC7">
        <w:rPr>
          <w:rFonts w:asciiTheme="minorHAnsi" w:hAnsiTheme="minorHAnsi" w:cstheme="minorHAnsi"/>
          <w:szCs w:val="24"/>
        </w:rPr>
        <w:t>2</w:t>
      </w:r>
      <w:r w:rsidR="005A3F8F" w:rsidRPr="00CE2FC7">
        <w:rPr>
          <w:rFonts w:asciiTheme="minorHAnsi" w:hAnsiTheme="minorHAnsi" w:cstheme="minorHAnsi"/>
          <w:szCs w:val="24"/>
        </w:rPr>
        <w:t>,</w:t>
      </w:r>
      <w:r w:rsidR="00EB7F1E" w:rsidRPr="00CE2FC7">
        <w:rPr>
          <w:rFonts w:asciiTheme="minorHAnsi" w:hAnsiTheme="minorHAnsi" w:cstheme="minorHAnsi"/>
          <w:szCs w:val="24"/>
        </w:rPr>
        <w:t>519</w:t>
      </w:r>
      <w:r w:rsidR="005A3F8F" w:rsidRPr="00CE2FC7">
        <w:rPr>
          <w:rFonts w:asciiTheme="minorHAnsi" w:hAnsiTheme="minorHAnsi" w:cstheme="minorHAnsi"/>
          <w:szCs w:val="24"/>
        </w:rPr>
        <w:t xml:space="preserve"> to £</w:t>
      </w:r>
      <w:r w:rsidR="002A6800" w:rsidRPr="00CE2FC7">
        <w:rPr>
          <w:rFonts w:asciiTheme="minorHAnsi" w:hAnsiTheme="minorHAnsi" w:cstheme="minorHAnsi"/>
          <w:szCs w:val="24"/>
        </w:rPr>
        <w:t>6</w:t>
      </w:r>
      <w:r w:rsidR="00EB7F1E" w:rsidRPr="00CE2FC7">
        <w:rPr>
          <w:rFonts w:asciiTheme="minorHAnsi" w:hAnsiTheme="minorHAnsi" w:cstheme="minorHAnsi"/>
          <w:szCs w:val="24"/>
        </w:rPr>
        <w:t>2</w:t>
      </w:r>
      <w:r w:rsidR="002A6800" w:rsidRPr="00CE2FC7">
        <w:rPr>
          <w:rFonts w:asciiTheme="minorHAnsi" w:hAnsiTheme="minorHAnsi" w:cstheme="minorHAnsi"/>
          <w:szCs w:val="24"/>
        </w:rPr>
        <w:t>,</w:t>
      </w:r>
      <w:r w:rsidR="00EB7F1E" w:rsidRPr="00CE2FC7">
        <w:rPr>
          <w:rFonts w:asciiTheme="minorHAnsi" w:hAnsiTheme="minorHAnsi" w:cstheme="minorHAnsi"/>
          <w:szCs w:val="24"/>
        </w:rPr>
        <w:t>2</w:t>
      </w:r>
      <w:r w:rsidR="002A6800" w:rsidRPr="00CE2FC7">
        <w:rPr>
          <w:rFonts w:asciiTheme="minorHAnsi" w:hAnsiTheme="minorHAnsi" w:cstheme="minorHAnsi"/>
          <w:szCs w:val="24"/>
        </w:rPr>
        <w:t>1</w:t>
      </w:r>
      <w:r w:rsidR="00EB7F1E" w:rsidRPr="00CE2FC7">
        <w:rPr>
          <w:rFonts w:asciiTheme="minorHAnsi" w:hAnsiTheme="minorHAnsi" w:cstheme="minorHAnsi"/>
          <w:szCs w:val="24"/>
        </w:rPr>
        <w:t>2</w:t>
      </w:r>
      <w:r w:rsidR="005A3F8F" w:rsidRPr="00677250">
        <w:rPr>
          <w:rFonts w:asciiTheme="minorHAnsi" w:hAnsiTheme="minorHAnsi" w:cstheme="minorHAnsi"/>
          <w:szCs w:val="24"/>
        </w:rPr>
        <w:t xml:space="preserve"> </w:t>
      </w:r>
      <w:r w:rsidR="009C7CFC" w:rsidRPr="00677250">
        <w:rPr>
          <w:rFonts w:asciiTheme="minorHAnsi" w:hAnsiTheme="minorHAnsi" w:cstheme="minorHAnsi"/>
          <w:szCs w:val="24"/>
        </w:rPr>
        <w:t>per annum</w:t>
      </w:r>
      <w:r w:rsidR="002A4AFD" w:rsidRPr="00677250">
        <w:rPr>
          <w:rFonts w:asciiTheme="minorHAnsi" w:hAnsiTheme="minorHAnsi" w:cstheme="minorHAnsi"/>
          <w:szCs w:val="24"/>
        </w:rPr>
        <w:t>.</w:t>
      </w:r>
      <w:r w:rsidR="002A6800">
        <w:rPr>
          <w:rFonts w:asciiTheme="minorHAnsi" w:hAnsiTheme="minorHAnsi" w:cstheme="minorHAnsi"/>
          <w:szCs w:val="24"/>
        </w:rPr>
        <w:t xml:space="preserve"> </w:t>
      </w:r>
    </w:p>
    <w:bookmarkEnd w:id="13"/>
    <w:bookmarkEnd w:id="14"/>
    <w:p w14:paraId="7B1245DB" w14:textId="77777777" w:rsidR="00C9465A" w:rsidRPr="00677250" w:rsidRDefault="00C9465A" w:rsidP="00341233">
      <w:pPr>
        <w:rPr>
          <w:rFonts w:asciiTheme="minorHAnsi" w:hAnsiTheme="minorHAnsi" w:cstheme="minorHAnsi"/>
          <w:szCs w:val="24"/>
          <w:highlight w:val="yellow"/>
        </w:rPr>
      </w:pPr>
    </w:p>
    <w:p w14:paraId="070EDEB8" w14:textId="77777777" w:rsidR="00466729" w:rsidRPr="00677250" w:rsidRDefault="000C79B7" w:rsidP="00341233">
      <w:pPr>
        <w:pStyle w:val="Itembody"/>
        <w:spacing w:line="240" w:lineRule="auto"/>
        <w:ind w:left="567" w:hanging="567"/>
        <w:rPr>
          <w:rFonts w:asciiTheme="minorHAnsi" w:hAnsiTheme="minorHAnsi" w:cstheme="minorHAnsi"/>
          <w:szCs w:val="24"/>
        </w:rPr>
      </w:pPr>
      <w:r w:rsidRPr="00677250">
        <w:rPr>
          <w:rFonts w:asciiTheme="minorHAnsi" w:hAnsiTheme="minorHAnsi" w:cstheme="minorHAnsi"/>
          <w:szCs w:val="24"/>
        </w:rPr>
        <w:t>Allowances</w:t>
      </w:r>
      <w:r w:rsidR="003F2BF6" w:rsidRPr="00677250">
        <w:rPr>
          <w:rFonts w:asciiTheme="minorHAnsi" w:hAnsiTheme="minorHAnsi" w:cstheme="minorHAnsi"/>
          <w:szCs w:val="24"/>
        </w:rPr>
        <w:t xml:space="preserve"> (in addition)</w:t>
      </w:r>
      <w:r w:rsidR="002A4AFD" w:rsidRPr="00677250">
        <w:rPr>
          <w:rFonts w:asciiTheme="minorHAnsi" w:hAnsiTheme="minorHAnsi" w:cstheme="minorHAnsi"/>
          <w:szCs w:val="24"/>
        </w:rPr>
        <w:t>:</w:t>
      </w:r>
    </w:p>
    <w:p w14:paraId="6082EB92" w14:textId="654571CA" w:rsidR="0076423E" w:rsidRPr="00677250" w:rsidRDefault="00C2298F" w:rsidP="00341233">
      <w:pPr>
        <w:numPr>
          <w:ilvl w:val="2"/>
          <w:numId w:val="5"/>
        </w:numPr>
        <w:spacing w:after="120"/>
        <w:ind w:left="567"/>
        <w:rPr>
          <w:rFonts w:asciiTheme="minorHAnsi" w:hAnsiTheme="minorHAnsi" w:cstheme="minorHAnsi"/>
          <w:szCs w:val="24"/>
        </w:rPr>
      </w:pPr>
      <w:r w:rsidRPr="00677250">
        <w:rPr>
          <w:rFonts w:asciiTheme="minorHAnsi" w:hAnsiTheme="minorHAnsi" w:cstheme="minorHAnsi"/>
          <w:szCs w:val="24"/>
        </w:rPr>
        <w:t>London</w:t>
      </w:r>
      <w:r w:rsidR="00EC463C" w:rsidRPr="00677250">
        <w:rPr>
          <w:rFonts w:asciiTheme="minorHAnsi" w:hAnsiTheme="minorHAnsi" w:cstheme="minorHAnsi"/>
          <w:szCs w:val="24"/>
        </w:rPr>
        <w:t xml:space="preserve"> Weighting</w:t>
      </w:r>
      <w:r w:rsidRPr="00677250">
        <w:rPr>
          <w:rFonts w:asciiTheme="minorHAnsi" w:hAnsiTheme="minorHAnsi" w:cstheme="minorHAnsi"/>
          <w:szCs w:val="24"/>
        </w:rPr>
        <w:t xml:space="preserve"> Allowance of </w:t>
      </w:r>
      <w:r w:rsidR="001E0BBB" w:rsidRPr="00CE2FC7">
        <w:rPr>
          <w:rFonts w:asciiTheme="minorHAnsi" w:hAnsiTheme="minorHAnsi" w:cstheme="minorHAnsi"/>
          <w:szCs w:val="24"/>
        </w:rPr>
        <w:t>£</w:t>
      </w:r>
      <w:r w:rsidR="002A4AFD" w:rsidRPr="00CE2FC7">
        <w:rPr>
          <w:rFonts w:asciiTheme="minorHAnsi" w:hAnsiTheme="minorHAnsi" w:cstheme="minorHAnsi"/>
          <w:szCs w:val="24"/>
        </w:rPr>
        <w:t>2</w:t>
      </w:r>
      <w:r w:rsidR="00B72EE1" w:rsidRPr="00CE2FC7">
        <w:rPr>
          <w:rFonts w:asciiTheme="minorHAnsi" w:hAnsiTheme="minorHAnsi" w:cstheme="minorHAnsi"/>
          <w:szCs w:val="24"/>
        </w:rPr>
        <w:t>,</w:t>
      </w:r>
      <w:r w:rsidR="00277AAE" w:rsidRPr="00CE2FC7">
        <w:rPr>
          <w:rFonts w:asciiTheme="minorHAnsi" w:hAnsiTheme="minorHAnsi" w:cstheme="minorHAnsi"/>
          <w:szCs w:val="24"/>
        </w:rPr>
        <w:t>835</w:t>
      </w:r>
      <w:r w:rsidR="002A4AFD" w:rsidRPr="00677250">
        <w:rPr>
          <w:rFonts w:asciiTheme="minorHAnsi" w:hAnsiTheme="minorHAnsi" w:cstheme="minorHAnsi"/>
          <w:szCs w:val="24"/>
        </w:rPr>
        <w:t xml:space="preserve"> per annum</w:t>
      </w:r>
      <w:r w:rsidR="001E3393" w:rsidRPr="00677250">
        <w:rPr>
          <w:rFonts w:asciiTheme="minorHAnsi" w:hAnsiTheme="minorHAnsi" w:cstheme="minorHAnsi"/>
          <w:szCs w:val="24"/>
        </w:rPr>
        <w:t xml:space="preserve"> </w:t>
      </w:r>
    </w:p>
    <w:p w14:paraId="199418C2" w14:textId="77777777" w:rsidR="0076423E" w:rsidRPr="00677250" w:rsidRDefault="0076423E" w:rsidP="00341233">
      <w:pPr>
        <w:spacing w:after="120"/>
        <w:ind w:left="567" w:hanging="567"/>
        <w:rPr>
          <w:rFonts w:asciiTheme="minorHAnsi" w:hAnsiTheme="minorHAnsi" w:cstheme="minorHAnsi"/>
          <w:szCs w:val="24"/>
        </w:rPr>
      </w:pPr>
    </w:p>
    <w:p w14:paraId="61868059" w14:textId="77777777" w:rsidR="00C2298F" w:rsidRPr="00677250" w:rsidRDefault="00C2298F" w:rsidP="00341233">
      <w:pPr>
        <w:spacing w:after="120"/>
        <w:ind w:left="567" w:hanging="567"/>
        <w:rPr>
          <w:rFonts w:asciiTheme="minorHAnsi" w:hAnsiTheme="minorHAnsi" w:cstheme="minorHAnsi"/>
          <w:szCs w:val="24"/>
        </w:rPr>
      </w:pPr>
      <w:r w:rsidRPr="00677250">
        <w:rPr>
          <w:rFonts w:asciiTheme="minorHAnsi" w:hAnsiTheme="minorHAnsi" w:cstheme="minorHAnsi"/>
          <w:szCs w:val="24"/>
        </w:rPr>
        <w:t>Other benefits</w:t>
      </w:r>
      <w:r w:rsidR="00002FCB" w:rsidRPr="00677250">
        <w:rPr>
          <w:rFonts w:asciiTheme="minorHAnsi" w:hAnsiTheme="minorHAnsi" w:cstheme="minorHAnsi"/>
          <w:szCs w:val="24"/>
        </w:rPr>
        <w:t xml:space="preserve"> include</w:t>
      </w:r>
      <w:r w:rsidRPr="00677250">
        <w:rPr>
          <w:rFonts w:asciiTheme="minorHAnsi" w:hAnsiTheme="minorHAnsi" w:cstheme="minorHAnsi"/>
          <w:szCs w:val="24"/>
        </w:rPr>
        <w:t>:</w:t>
      </w:r>
    </w:p>
    <w:p w14:paraId="7FF6C72C" w14:textId="77777777" w:rsidR="001E0BBB" w:rsidRPr="00677250" w:rsidRDefault="003F2BF6" w:rsidP="00341233">
      <w:pPr>
        <w:pStyle w:val="BodyText1"/>
        <w:numPr>
          <w:ilvl w:val="0"/>
          <w:numId w:val="1"/>
        </w:numPr>
        <w:spacing w:line="240" w:lineRule="auto"/>
        <w:ind w:left="567" w:hanging="567"/>
        <w:rPr>
          <w:rFonts w:asciiTheme="minorHAnsi" w:hAnsiTheme="minorHAnsi" w:cstheme="minorHAnsi"/>
          <w:szCs w:val="24"/>
        </w:rPr>
      </w:pPr>
      <w:r w:rsidRPr="00677250">
        <w:rPr>
          <w:rFonts w:asciiTheme="minorHAnsi" w:hAnsiTheme="minorHAnsi" w:cstheme="minorHAnsi"/>
          <w:szCs w:val="24"/>
        </w:rPr>
        <w:t>28</w:t>
      </w:r>
      <w:r w:rsidR="001E0BBB" w:rsidRPr="00677250">
        <w:rPr>
          <w:rFonts w:asciiTheme="minorHAnsi" w:hAnsiTheme="minorHAnsi" w:cstheme="minorHAnsi"/>
          <w:szCs w:val="24"/>
        </w:rPr>
        <w:t xml:space="preserve"> days </w:t>
      </w:r>
      <w:r w:rsidR="009C7CFC" w:rsidRPr="00677250">
        <w:rPr>
          <w:rFonts w:asciiTheme="minorHAnsi" w:hAnsiTheme="minorHAnsi" w:cstheme="minorHAnsi"/>
          <w:szCs w:val="24"/>
        </w:rPr>
        <w:t>l</w:t>
      </w:r>
      <w:r w:rsidR="001E0BBB" w:rsidRPr="00677250">
        <w:rPr>
          <w:rFonts w:asciiTheme="minorHAnsi" w:hAnsiTheme="minorHAnsi" w:cstheme="minorHAnsi"/>
          <w:szCs w:val="24"/>
        </w:rPr>
        <w:t xml:space="preserve">eave </w:t>
      </w:r>
      <w:r w:rsidR="002A4AFD" w:rsidRPr="00677250">
        <w:rPr>
          <w:rFonts w:asciiTheme="minorHAnsi" w:hAnsiTheme="minorHAnsi" w:cstheme="minorHAnsi"/>
          <w:szCs w:val="24"/>
        </w:rPr>
        <w:t>per annum</w:t>
      </w:r>
      <w:r w:rsidRPr="00677250">
        <w:rPr>
          <w:rFonts w:asciiTheme="minorHAnsi" w:hAnsiTheme="minorHAnsi" w:cstheme="minorHAnsi"/>
          <w:szCs w:val="24"/>
        </w:rPr>
        <w:t>, rising to 30 days with 5 years’ service</w:t>
      </w:r>
    </w:p>
    <w:p w14:paraId="3943D1F4" w14:textId="2E7F77C9" w:rsidR="002A4AFD" w:rsidRDefault="002A4AFD" w:rsidP="00341233">
      <w:pPr>
        <w:pStyle w:val="BodyText1"/>
        <w:numPr>
          <w:ilvl w:val="0"/>
          <w:numId w:val="1"/>
        </w:numPr>
        <w:spacing w:line="240" w:lineRule="auto"/>
        <w:ind w:left="567" w:hanging="567"/>
        <w:rPr>
          <w:rFonts w:asciiTheme="minorHAnsi" w:hAnsiTheme="minorHAnsi" w:cstheme="minorHAnsi"/>
          <w:szCs w:val="24"/>
        </w:rPr>
      </w:pPr>
      <w:r w:rsidRPr="00677250">
        <w:rPr>
          <w:rFonts w:asciiTheme="minorHAnsi" w:hAnsiTheme="minorHAnsi" w:cstheme="minorHAnsi"/>
          <w:szCs w:val="24"/>
        </w:rPr>
        <w:t>Police Staff Pension scheme</w:t>
      </w:r>
    </w:p>
    <w:p w14:paraId="79DA57ED" w14:textId="77777777" w:rsidR="0064283B" w:rsidRPr="00677250" w:rsidRDefault="0064283B" w:rsidP="00341233">
      <w:pPr>
        <w:pStyle w:val="BodyText1"/>
        <w:spacing w:line="240" w:lineRule="auto"/>
        <w:ind w:left="0"/>
        <w:outlineLvl w:val="1"/>
        <w:rPr>
          <w:rFonts w:asciiTheme="minorHAnsi" w:hAnsiTheme="minorHAnsi" w:cstheme="minorHAnsi"/>
          <w:szCs w:val="24"/>
        </w:rPr>
      </w:pPr>
    </w:p>
    <w:p w14:paraId="486C1A94" w14:textId="77777777" w:rsidR="00110B91" w:rsidRPr="00677250" w:rsidRDefault="00110B91" w:rsidP="00341233">
      <w:pPr>
        <w:pStyle w:val="Heading1"/>
        <w:ind w:left="0"/>
        <w:rPr>
          <w:rStyle w:val="Itemreference"/>
          <w:rFonts w:asciiTheme="minorHAnsi" w:hAnsiTheme="minorHAnsi" w:cstheme="minorHAnsi"/>
        </w:rPr>
      </w:pPr>
      <w:bookmarkStart w:id="15" w:name="_Toc494808468"/>
      <w:bookmarkStart w:id="16" w:name="_Toc108001996"/>
      <w:bookmarkStart w:id="17" w:name="_Toc371676908"/>
      <w:r w:rsidRPr="00677250">
        <w:rPr>
          <w:rStyle w:val="Itemreference"/>
          <w:rFonts w:asciiTheme="minorHAnsi" w:hAnsiTheme="minorHAnsi" w:cstheme="minorHAnsi"/>
        </w:rPr>
        <w:t>How to apply</w:t>
      </w:r>
      <w:bookmarkEnd w:id="15"/>
      <w:bookmarkEnd w:id="16"/>
    </w:p>
    <w:p w14:paraId="13B1D073" w14:textId="57A6C5D6" w:rsidR="00D9348A" w:rsidRDefault="00110B91" w:rsidP="00D9348A">
      <w:pPr>
        <w:pStyle w:val="Itembody"/>
        <w:spacing w:line="240" w:lineRule="auto"/>
        <w:ind w:left="0"/>
        <w:jc w:val="both"/>
        <w:rPr>
          <w:rFonts w:asciiTheme="minorHAnsi" w:hAnsiTheme="minorHAnsi" w:cstheme="minorHAnsi"/>
          <w:szCs w:val="24"/>
        </w:rPr>
      </w:pPr>
      <w:r w:rsidRPr="009A5014">
        <w:rPr>
          <w:rFonts w:asciiTheme="minorHAnsi" w:hAnsiTheme="minorHAnsi" w:cstheme="minorHAnsi"/>
          <w:szCs w:val="24"/>
        </w:rPr>
        <w:t xml:space="preserve">You are asked to submit your application by way of a CV and supporting statement </w:t>
      </w:r>
      <w:r w:rsidR="00BD4670">
        <w:rPr>
          <w:rFonts w:asciiTheme="minorHAnsi" w:hAnsiTheme="minorHAnsi" w:cstheme="minorHAnsi"/>
          <w:szCs w:val="24"/>
        </w:rPr>
        <w:t xml:space="preserve">no more than two sides of A4 </w:t>
      </w:r>
      <w:r w:rsidRPr="009A5014">
        <w:rPr>
          <w:rFonts w:asciiTheme="minorHAnsi" w:hAnsiTheme="minorHAnsi" w:cstheme="minorHAnsi"/>
          <w:szCs w:val="24"/>
        </w:rPr>
        <w:t>providing clear examples of similar work that you have done</w:t>
      </w:r>
      <w:r w:rsidR="00BD4670">
        <w:rPr>
          <w:rFonts w:asciiTheme="minorHAnsi" w:hAnsiTheme="minorHAnsi" w:cstheme="minorHAnsi"/>
          <w:szCs w:val="24"/>
        </w:rPr>
        <w:t xml:space="preserve">. This should demonstrate your </w:t>
      </w:r>
      <w:r w:rsidR="00D9348A">
        <w:rPr>
          <w:rFonts w:asciiTheme="minorHAnsi" w:hAnsiTheme="minorHAnsi" w:cstheme="minorHAnsi"/>
          <w:szCs w:val="24"/>
        </w:rPr>
        <w:t xml:space="preserve">working </w:t>
      </w:r>
      <w:r w:rsidR="00BD4670">
        <w:rPr>
          <w:rFonts w:asciiTheme="minorHAnsi" w:hAnsiTheme="minorHAnsi" w:cstheme="minorHAnsi"/>
          <w:szCs w:val="24"/>
        </w:rPr>
        <w:t xml:space="preserve">experience </w:t>
      </w:r>
      <w:r w:rsidR="00D9348A">
        <w:rPr>
          <w:rFonts w:asciiTheme="minorHAnsi" w:hAnsiTheme="minorHAnsi" w:cstheme="minorHAnsi"/>
          <w:szCs w:val="24"/>
        </w:rPr>
        <w:t>within the following areas:</w:t>
      </w:r>
    </w:p>
    <w:p w14:paraId="539CB249" w14:textId="77777777" w:rsidR="00D9348A" w:rsidRDefault="00D9348A" w:rsidP="00D9348A">
      <w:pPr>
        <w:pStyle w:val="Itembody"/>
        <w:spacing w:line="240" w:lineRule="auto"/>
        <w:ind w:left="0"/>
        <w:jc w:val="both"/>
        <w:rPr>
          <w:rFonts w:asciiTheme="minorHAnsi" w:hAnsiTheme="minorHAnsi" w:cstheme="minorHAnsi"/>
          <w:szCs w:val="24"/>
        </w:rPr>
      </w:pPr>
    </w:p>
    <w:p w14:paraId="34E1A74B" w14:textId="5C42E93D" w:rsidR="00D9348A" w:rsidRDefault="00D9348A" w:rsidP="00D9348A">
      <w:pPr>
        <w:pStyle w:val="Itembody"/>
        <w:numPr>
          <w:ilvl w:val="0"/>
          <w:numId w:val="34"/>
        </w:numPr>
        <w:spacing w:line="240" w:lineRule="auto"/>
        <w:jc w:val="both"/>
        <w:rPr>
          <w:rFonts w:asciiTheme="minorHAnsi" w:hAnsiTheme="minorHAnsi" w:cstheme="minorHAnsi"/>
          <w:szCs w:val="24"/>
        </w:rPr>
      </w:pPr>
      <w:r>
        <w:rPr>
          <w:rFonts w:asciiTheme="minorHAnsi" w:hAnsiTheme="minorHAnsi" w:cstheme="minorHAnsi"/>
          <w:szCs w:val="24"/>
        </w:rPr>
        <w:t>R</w:t>
      </w:r>
      <w:r w:rsidR="00E775A6" w:rsidRPr="009A5014">
        <w:rPr>
          <w:rFonts w:asciiTheme="minorHAnsi" w:hAnsiTheme="minorHAnsi" w:cstheme="minorHAnsi"/>
          <w:szCs w:val="24"/>
        </w:rPr>
        <w:t>isk Management and Controls</w:t>
      </w:r>
      <w:r w:rsidR="00E775A6">
        <w:rPr>
          <w:rFonts w:asciiTheme="minorHAnsi" w:hAnsiTheme="minorHAnsi" w:cstheme="minorHAnsi"/>
          <w:szCs w:val="24"/>
        </w:rPr>
        <w:t xml:space="preserve">, </w:t>
      </w:r>
    </w:p>
    <w:p w14:paraId="3C69BAE6" w14:textId="77777777" w:rsidR="00D9348A" w:rsidRDefault="009521DF" w:rsidP="00D9348A">
      <w:pPr>
        <w:pStyle w:val="Itembody"/>
        <w:numPr>
          <w:ilvl w:val="0"/>
          <w:numId w:val="34"/>
        </w:numPr>
        <w:spacing w:line="240" w:lineRule="auto"/>
        <w:jc w:val="both"/>
        <w:rPr>
          <w:rFonts w:asciiTheme="minorHAnsi" w:hAnsiTheme="minorHAnsi" w:cstheme="minorHAnsi"/>
          <w:szCs w:val="24"/>
        </w:rPr>
      </w:pPr>
      <w:r w:rsidRPr="009A5014">
        <w:rPr>
          <w:rFonts w:asciiTheme="minorHAnsi" w:hAnsiTheme="minorHAnsi" w:cstheme="minorHAnsi"/>
          <w:szCs w:val="24"/>
        </w:rPr>
        <w:t>Internal/External Audit</w:t>
      </w:r>
      <w:r w:rsidR="009D6832">
        <w:rPr>
          <w:rFonts w:asciiTheme="minorHAnsi" w:hAnsiTheme="minorHAnsi" w:cstheme="minorHAnsi"/>
          <w:szCs w:val="24"/>
        </w:rPr>
        <w:t xml:space="preserve">, </w:t>
      </w:r>
    </w:p>
    <w:p w14:paraId="42C760F6" w14:textId="6E0F9C89" w:rsidR="00D9348A" w:rsidRDefault="009521DF" w:rsidP="00D9348A">
      <w:pPr>
        <w:pStyle w:val="Itembody"/>
        <w:numPr>
          <w:ilvl w:val="0"/>
          <w:numId w:val="34"/>
        </w:numPr>
        <w:spacing w:line="240" w:lineRule="auto"/>
        <w:jc w:val="both"/>
        <w:rPr>
          <w:rFonts w:asciiTheme="minorHAnsi" w:hAnsiTheme="minorHAnsi" w:cstheme="minorHAnsi"/>
          <w:szCs w:val="24"/>
        </w:rPr>
      </w:pPr>
      <w:r w:rsidRPr="009A5014">
        <w:rPr>
          <w:rFonts w:asciiTheme="minorHAnsi" w:hAnsiTheme="minorHAnsi" w:cstheme="minorHAnsi"/>
          <w:szCs w:val="24"/>
        </w:rPr>
        <w:t>Board Reporting</w:t>
      </w:r>
      <w:r w:rsidR="003D46BA">
        <w:rPr>
          <w:rFonts w:asciiTheme="minorHAnsi" w:hAnsiTheme="minorHAnsi" w:cstheme="minorHAnsi"/>
          <w:szCs w:val="24"/>
        </w:rPr>
        <w:t>/Committee Management</w:t>
      </w:r>
      <w:r w:rsidR="00D9348A">
        <w:rPr>
          <w:rFonts w:asciiTheme="minorHAnsi" w:hAnsiTheme="minorHAnsi" w:cstheme="minorHAnsi"/>
          <w:szCs w:val="24"/>
        </w:rPr>
        <w:t>,</w:t>
      </w:r>
      <w:r w:rsidR="009D6832">
        <w:rPr>
          <w:rFonts w:asciiTheme="minorHAnsi" w:hAnsiTheme="minorHAnsi" w:cstheme="minorHAnsi"/>
          <w:szCs w:val="24"/>
        </w:rPr>
        <w:t xml:space="preserve"> </w:t>
      </w:r>
    </w:p>
    <w:p w14:paraId="782089B8" w14:textId="63DEA213" w:rsidR="00D9348A" w:rsidRDefault="009D6832" w:rsidP="00D9348A">
      <w:pPr>
        <w:pStyle w:val="Itembody"/>
        <w:numPr>
          <w:ilvl w:val="0"/>
          <w:numId w:val="34"/>
        </w:numPr>
        <w:spacing w:line="240" w:lineRule="auto"/>
        <w:jc w:val="both"/>
        <w:rPr>
          <w:rFonts w:asciiTheme="minorHAnsi" w:hAnsiTheme="minorHAnsi" w:cstheme="minorHAnsi"/>
          <w:szCs w:val="24"/>
        </w:rPr>
      </w:pPr>
      <w:r w:rsidRPr="009A5014">
        <w:rPr>
          <w:rFonts w:asciiTheme="minorHAnsi" w:hAnsiTheme="minorHAnsi" w:cstheme="minorHAnsi"/>
          <w:szCs w:val="24"/>
        </w:rPr>
        <w:t>Fina</w:t>
      </w:r>
      <w:r w:rsidR="00D9348A">
        <w:rPr>
          <w:rFonts w:asciiTheme="minorHAnsi" w:hAnsiTheme="minorHAnsi" w:cstheme="minorHAnsi"/>
          <w:szCs w:val="24"/>
        </w:rPr>
        <w:t xml:space="preserve">ncial </w:t>
      </w:r>
      <w:r w:rsidRPr="009A5014">
        <w:rPr>
          <w:rFonts w:asciiTheme="minorHAnsi" w:hAnsiTheme="minorHAnsi" w:cstheme="minorHAnsi"/>
          <w:szCs w:val="24"/>
        </w:rPr>
        <w:t>Reporting</w:t>
      </w:r>
      <w:r w:rsidR="00110B91" w:rsidRPr="009A5014">
        <w:rPr>
          <w:rFonts w:asciiTheme="minorHAnsi" w:hAnsiTheme="minorHAnsi" w:cstheme="minorHAnsi"/>
          <w:szCs w:val="24"/>
        </w:rPr>
        <w:t xml:space="preserve">. </w:t>
      </w:r>
    </w:p>
    <w:p w14:paraId="6E4F2A1D" w14:textId="77777777" w:rsidR="00D9348A" w:rsidRDefault="00D9348A" w:rsidP="00D9348A">
      <w:pPr>
        <w:pStyle w:val="Itembody"/>
        <w:spacing w:line="240" w:lineRule="auto"/>
        <w:ind w:left="0"/>
        <w:jc w:val="both"/>
        <w:rPr>
          <w:rFonts w:asciiTheme="minorHAnsi" w:hAnsiTheme="minorHAnsi" w:cstheme="minorHAnsi"/>
          <w:szCs w:val="24"/>
        </w:rPr>
      </w:pPr>
    </w:p>
    <w:p w14:paraId="764486CA" w14:textId="6EFCA04C" w:rsidR="00110B91" w:rsidRPr="00D9348A" w:rsidRDefault="00110B91" w:rsidP="00D9348A">
      <w:pPr>
        <w:pStyle w:val="Itembody"/>
        <w:spacing w:line="240" w:lineRule="auto"/>
        <w:ind w:left="0"/>
        <w:jc w:val="both"/>
        <w:rPr>
          <w:rFonts w:asciiTheme="minorHAnsi" w:hAnsiTheme="minorHAnsi" w:cstheme="minorHAnsi"/>
          <w:szCs w:val="24"/>
        </w:rPr>
      </w:pPr>
      <w:r w:rsidRPr="00D9348A">
        <w:rPr>
          <w:rFonts w:asciiTheme="minorHAnsi" w:hAnsiTheme="minorHAnsi" w:cstheme="minorHAnsi"/>
          <w:szCs w:val="24"/>
        </w:rPr>
        <w:t>The evidence provided must be specific and focused on your personal involvement, experience</w:t>
      </w:r>
      <w:r w:rsidR="009521DF" w:rsidRPr="00D9348A">
        <w:rPr>
          <w:rFonts w:asciiTheme="minorHAnsi" w:hAnsiTheme="minorHAnsi" w:cstheme="minorHAnsi"/>
          <w:szCs w:val="24"/>
        </w:rPr>
        <w:t>,</w:t>
      </w:r>
      <w:r w:rsidRPr="00D9348A">
        <w:rPr>
          <w:rFonts w:asciiTheme="minorHAnsi" w:hAnsiTheme="minorHAnsi" w:cstheme="minorHAnsi"/>
          <w:szCs w:val="24"/>
        </w:rPr>
        <w:t xml:space="preserve"> </w:t>
      </w:r>
      <w:proofErr w:type="gramStart"/>
      <w:r w:rsidRPr="00D9348A">
        <w:rPr>
          <w:rFonts w:asciiTheme="minorHAnsi" w:hAnsiTheme="minorHAnsi" w:cstheme="minorHAnsi"/>
          <w:szCs w:val="24"/>
        </w:rPr>
        <w:t>actions</w:t>
      </w:r>
      <w:proofErr w:type="gramEnd"/>
      <w:r w:rsidR="009521DF" w:rsidRPr="00D9348A">
        <w:rPr>
          <w:rFonts w:asciiTheme="minorHAnsi" w:hAnsiTheme="minorHAnsi" w:cstheme="minorHAnsi"/>
          <w:szCs w:val="24"/>
        </w:rPr>
        <w:t xml:space="preserve"> and the resultant outcome</w:t>
      </w:r>
      <w:r w:rsidRPr="00D9348A">
        <w:rPr>
          <w:rFonts w:asciiTheme="minorHAnsi" w:hAnsiTheme="minorHAnsi" w:cstheme="minorHAnsi"/>
          <w:szCs w:val="24"/>
        </w:rPr>
        <w:t xml:space="preserve">. </w:t>
      </w:r>
    </w:p>
    <w:p w14:paraId="734EFD70" w14:textId="77777777" w:rsidR="00110B91" w:rsidRPr="00677250" w:rsidRDefault="00110B91" w:rsidP="00341233">
      <w:pPr>
        <w:pStyle w:val="Itembody"/>
        <w:spacing w:line="240" w:lineRule="auto"/>
        <w:ind w:left="0"/>
        <w:rPr>
          <w:rFonts w:asciiTheme="minorHAnsi" w:hAnsiTheme="minorHAnsi" w:cstheme="minorHAnsi"/>
          <w:szCs w:val="24"/>
        </w:rPr>
      </w:pPr>
    </w:p>
    <w:p w14:paraId="385DA24E" w14:textId="77777777" w:rsidR="00110B91" w:rsidRPr="00677250" w:rsidRDefault="00110B91" w:rsidP="00341233">
      <w:pPr>
        <w:pStyle w:val="Itembody"/>
        <w:spacing w:line="240" w:lineRule="auto"/>
        <w:ind w:left="0"/>
        <w:rPr>
          <w:rFonts w:asciiTheme="minorHAnsi" w:hAnsiTheme="minorHAnsi" w:cstheme="minorHAnsi"/>
          <w:szCs w:val="24"/>
        </w:rPr>
      </w:pPr>
      <w:r w:rsidRPr="00677250">
        <w:rPr>
          <w:rFonts w:asciiTheme="minorHAnsi" w:hAnsiTheme="minorHAnsi" w:cstheme="minorHAnsi"/>
          <w:szCs w:val="24"/>
        </w:rPr>
        <w:t>Applications should be sent as follows:</w:t>
      </w:r>
    </w:p>
    <w:p w14:paraId="7B286479" w14:textId="77777777" w:rsidR="00110B91" w:rsidRPr="00677250" w:rsidRDefault="00110B91" w:rsidP="00341233">
      <w:pPr>
        <w:pStyle w:val="Itembody"/>
        <w:spacing w:line="240" w:lineRule="auto"/>
        <w:ind w:left="0"/>
        <w:rPr>
          <w:rFonts w:asciiTheme="minorHAnsi" w:hAnsiTheme="minorHAnsi" w:cstheme="minorHAnsi"/>
          <w:szCs w:val="24"/>
        </w:rPr>
      </w:pPr>
    </w:p>
    <w:p w14:paraId="57A36380" w14:textId="359CA9C2" w:rsidR="00110B91" w:rsidRPr="00677250" w:rsidRDefault="00110B91" w:rsidP="00341233">
      <w:pPr>
        <w:pStyle w:val="Itembody"/>
        <w:spacing w:line="240" w:lineRule="auto"/>
        <w:ind w:left="0"/>
        <w:rPr>
          <w:rFonts w:asciiTheme="minorHAnsi" w:hAnsiTheme="minorHAnsi" w:cstheme="minorHAnsi"/>
          <w:b/>
          <w:color w:val="008080"/>
          <w:szCs w:val="24"/>
        </w:rPr>
      </w:pPr>
      <w:r w:rsidRPr="00677250">
        <w:rPr>
          <w:rFonts w:asciiTheme="minorHAnsi" w:hAnsiTheme="minorHAnsi" w:cstheme="minorHAnsi"/>
          <w:b/>
          <w:color w:val="000000"/>
          <w:szCs w:val="24"/>
        </w:rPr>
        <w:t xml:space="preserve">By email to: </w:t>
      </w:r>
      <w:hyperlink r:id="rId15" w:history="1">
        <w:r w:rsidR="00E82F45" w:rsidRPr="006E5B62">
          <w:rPr>
            <w:rStyle w:val="Hyperlink"/>
            <w:rFonts w:asciiTheme="minorHAnsi" w:hAnsiTheme="minorHAnsi" w:cstheme="minorHAnsi"/>
            <w:szCs w:val="24"/>
          </w:rPr>
          <w:t>BTPArecruitment@btp.police.uk</w:t>
        </w:r>
      </w:hyperlink>
      <w:r w:rsidRPr="00677250">
        <w:rPr>
          <w:rFonts w:asciiTheme="minorHAnsi" w:hAnsiTheme="minorHAnsi" w:cstheme="minorHAnsi"/>
          <w:szCs w:val="24"/>
        </w:rPr>
        <w:t xml:space="preserve">  </w:t>
      </w:r>
    </w:p>
    <w:p w14:paraId="322D14EB" w14:textId="77777777" w:rsidR="00110B91" w:rsidRPr="00677250" w:rsidRDefault="00110B91" w:rsidP="00341233">
      <w:pPr>
        <w:pStyle w:val="Itembody"/>
        <w:spacing w:line="240" w:lineRule="auto"/>
        <w:ind w:left="0" w:firstLine="1287"/>
        <w:rPr>
          <w:rFonts w:asciiTheme="minorHAnsi" w:hAnsiTheme="minorHAnsi" w:cstheme="minorHAnsi"/>
          <w:szCs w:val="24"/>
        </w:rPr>
      </w:pPr>
    </w:p>
    <w:p w14:paraId="06885909" w14:textId="5D4440C2" w:rsidR="00110B91" w:rsidRPr="00677250" w:rsidRDefault="00110B91" w:rsidP="00341233">
      <w:pPr>
        <w:pStyle w:val="Itembody"/>
        <w:spacing w:line="240" w:lineRule="auto"/>
        <w:ind w:left="0"/>
        <w:rPr>
          <w:rFonts w:asciiTheme="minorHAnsi" w:hAnsiTheme="minorHAnsi" w:cstheme="minorHAnsi"/>
          <w:szCs w:val="24"/>
        </w:rPr>
      </w:pPr>
      <w:r w:rsidRPr="00CD6F82">
        <w:rPr>
          <w:rFonts w:asciiTheme="minorHAnsi" w:hAnsiTheme="minorHAnsi" w:cstheme="minorHAnsi"/>
          <w:szCs w:val="24"/>
        </w:rPr>
        <w:t>The closing date for applications is</w:t>
      </w:r>
      <w:r w:rsidR="00B324E0" w:rsidRPr="00CD6F82">
        <w:rPr>
          <w:rFonts w:asciiTheme="minorHAnsi" w:hAnsiTheme="minorHAnsi" w:cstheme="minorHAnsi"/>
          <w:szCs w:val="24"/>
        </w:rPr>
        <w:t xml:space="preserve"> </w:t>
      </w:r>
      <w:r w:rsidR="00090F84" w:rsidRPr="00090F84">
        <w:rPr>
          <w:rFonts w:asciiTheme="minorHAnsi" w:hAnsiTheme="minorHAnsi" w:cstheme="minorHAnsi"/>
          <w:b/>
          <w:bCs/>
          <w:szCs w:val="24"/>
          <w:u w:val="single"/>
        </w:rPr>
        <w:t>9am Monday 5 June 2023</w:t>
      </w:r>
    </w:p>
    <w:p w14:paraId="37CC63B2" w14:textId="77777777" w:rsidR="00110B91" w:rsidRPr="00677250" w:rsidRDefault="00110B91" w:rsidP="00341233">
      <w:pPr>
        <w:pStyle w:val="Itembody"/>
        <w:spacing w:line="240" w:lineRule="auto"/>
        <w:ind w:left="0"/>
        <w:rPr>
          <w:rFonts w:asciiTheme="minorHAnsi" w:hAnsiTheme="minorHAnsi" w:cstheme="minorHAnsi"/>
          <w:szCs w:val="24"/>
        </w:rPr>
      </w:pPr>
    </w:p>
    <w:p w14:paraId="37196AB2" w14:textId="77777777" w:rsidR="00FD0130" w:rsidRPr="00677250" w:rsidRDefault="00A54397" w:rsidP="00341233">
      <w:pPr>
        <w:rPr>
          <w:rFonts w:asciiTheme="minorHAnsi" w:hAnsiTheme="minorHAnsi" w:cstheme="minorHAnsi"/>
          <w:szCs w:val="24"/>
        </w:rPr>
      </w:pPr>
      <w:r w:rsidRPr="00677250">
        <w:rPr>
          <w:rFonts w:asciiTheme="minorHAnsi" w:hAnsiTheme="minorHAnsi" w:cstheme="minorHAnsi"/>
          <w:b/>
          <w:szCs w:val="24"/>
        </w:rPr>
        <w:br/>
      </w:r>
    </w:p>
    <w:p w14:paraId="651F0FFE" w14:textId="77777777" w:rsidR="002A4AFD" w:rsidRPr="00677250" w:rsidRDefault="008B6BB6" w:rsidP="00341233">
      <w:pPr>
        <w:pStyle w:val="Heading1"/>
        <w:ind w:left="0"/>
        <w:jc w:val="both"/>
        <w:rPr>
          <w:rFonts w:asciiTheme="minorHAnsi" w:hAnsiTheme="minorHAnsi" w:cstheme="minorHAnsi"/>
          <w:b w:val="0"/>
        </w:rPr>
      </w:pPr>
      <w:r w:rsidRPr="00677250">
        <w:rPr>
          <w:rFonts w:asciiTheme="minorHAnsi" w:hAnsiTheme="minorHAnsi" w:cstheme="minorHAnsi"/>
          <w:szCs w:val="24"/>
        </w:rPr>
        <w:br w:type="page"/>
      </w:r>
      <w:bookmarkStart w:id="18" w:name="_Toc232487043"/>
      <w:bookmarkStart w:id="19" w:name="_Toc494811043"/>
      <w:bookmarkStart w:id="20" w:name="_Toc108001997"/>
      <w:bookmarkStart w:id="21" w:name="_Toc232487067"/>
      <w:r w:rsidR="002A4AFD" w:rsidRPr="00677250">
        <w:rPr>
          <w:rFonts w:asciiTheme="minorHAnsi" w:hAnsiTheme="minorHAnsi" w:cstheme="minorHAnsi"/>
        </w:rPr>
        <w:lastRenderedPageBreak/>
        <w:t>Information for candidates</w:t>
      </w:r>
      <w:bookmarkEnd w:id="18"/>
      <w:bookmarkEnd w:id="19"/>
      <w:bookmarkEnd w:id="20"/>
      <w:r w:rsidR="002A4AFD" w:rsidRPr="00677250">
        <w:rPr>
          <w:rFonts w:asciiTheme="minorHAnsi" w:hAnsiTheme="minorHAnsi" w:cstheme="minorHAnsi"/>
        </w:rPr>
        <w:t xml:space="preserve"> </w:t>
      </w:r>
    </w:p>
    <w:p w14:paraId="1ED200A9" w14:textId="77777777" w:rsidR="002A4AFD" w:rsidRPr="00677250" w:rsidRDefault="002A4AFD" w:rsidP="00341233">
      <w:pPr>
        <w:pStyle w:val="Heading2"/>
        <w:ind w:left="0"/>
        <w:jc w:val="both"/>
        <w:rPr>
          <w:rFonts w:asciiTheme="minorHAnsi" w:hAnsiTheme="minorHAnsi" w:cstheme="minorHAnsi"/>
          <w:b/>
          <w:szCs w:val="24"/>
        </w:rPr>
      </w:pPr>
      <w:bookmarkStart w:id="22" w:name="_Toc232487063"/>
      <w:bookmarkStart w:id="23" w:name="_Toc494811046"/>
      <w:bookmarkStart w:id="24" w:name="_Toc108001998"/>
      <w:r w:rsidRPr="00677250">
        <w:rPr>
          <w:rFonts w:asciiTheme="minorHAnsi" w:hAnsiTheme="minorHAnsi" w:cstheme="minorHAnsi"/>
          <w:b/>
          <w:szCs w:val="24"/>
        </w:rPr>
        <w:t>Equal opportunities</w:t>
      </w:r>
      <w:bookmarkEnd w:id="22"/>
      <w:bookmarkEnd w:id="23"/>
      <w:bookmarkEnd w:id="24"/>
    </w:p>
    <w:p w14:paraId="7970042B" w14:textId="77777777" w:rsidR="002A4AFD" w:rsidRPr="00677250" w:rsidRDefault="002A4AFD" w:rsidP="00341233">
      <w:pPr>
        <w:pStyle w:val="Itembody"/>
        <w:spacing w:line="240" w:lineRule="auto"/>
        <w:ind w:left="0"/>
        <w:jc w:val="both"/>
        <w:rPr>
          <w:rFonts w:asciiTheme="minorHAnsi" w:hAnsiTheme="minorHAnsi" w:cstheme="minorHAnsi"/>
          <w:szCs w:val="24"/>
        </w:rPr>
      </w:pPr>
      <w:r w:rsidRPr="00677250">
        <w:rPr>
          <w:rFonts w:asciiTheme="minorHAnsi" w:hAnsiTheme="minorHAnsi" w:cstheme="minorHAnsi"/>
          <w:szCs w:val="24"/>
        </w:rPr>
        <w:t>BTP</w:t>
      </w:r>
      <w:r w:rsidR="00FD0130" w:rsidRPr="00677250">
        <w:rPr>
          <w:rFonts w:asciiTheme="minorHAnsi" w:hAnsiTheme="minorHAnsi" w:cstheme="minorHAnsi"/>
          <w:szCs w:val="24"/>
        </w:rPr>
        <w:t>A</w:t>
      </w:r>
      <w:r w:rsidRPr="00677250">
        <w:rPr>
          <w:rFonts w:asciiTheme="minorHAnsi" w:hAnsiTheme="minorHAnsi" w:cstheme="minorHAnsi"/>
          <w:szCs w:val="24"/>
        </w:rPr>
        <w:t xml:space="preserve"> is an equal opportunities employer and is determined to ensure that:</w:t>
      </w:r>
    </w:p>
    <w:p w14:paraId="595CEF57" w14:textId="77777777" w:rsidR="002A4AFD" w:rsidRPr="00677250" w:rsidRDefault="002A4AFD" w:rsidP="00341233">
      <w:pPr>
        <w:pStyle w:val="Itembody"/>
        <w:spacing w:line="240" w:lineRule="auto"/>
        <w:ind w:left="0"/>
        <w:jc w:val="both"/>
        <w:rPr>
          <w:rFonts w:asciiTheme="minorHAnsi" w:hAnsiTheme="minorHAnsi" w:cstheme="minorHAnsi"/>
          <w:szCs w:val="24"/>
        </w:rPr>
      </w:pPr>
    </w:p>
    <w:p w14:paraId="5D56B10C" w14:textId="77777777" w:rsidR="002A4AFD" w:rsidRPr="00677250" w:rsidRDefault="002A4AFD" w:rsidP="00341233">
      <w:pPr>
        <w:pStyle w:val="Itembody"/>
        <w:numPr>
          <w:ilvl w:val="0"/>
          <w:numId w:val="2"/>
        </w:numPr>
        <w:spacing w:line="240" w:lineRule="auto"/>
        <w:ind w:left="426" w:hanging="426"/>
        <w:jc w:val="both"/>
        <w:rPr>
          <w:rFonts w:asciiTheme="minorHAnsi" w:hAnsiTheme="minorHAnsi" w:cstheme="minorHAnsi"/>
          <w:szCs w:val="24"/>
        </w:rPr>
      </w:pPr>
      <w:r w:rsidRPr="00677250">
        <w:rPr>
          <w:rFonts w:asciiTheme="minorHAnsi" w:hAnsiTheme="minorHAnsi" w:cstheme="minorHAnsi"/>
          <w:szCs w:val="24"/>
        </w:rPr>
        <w:t xml:space="preserve">The workforce reflects the diverse community which it serves and that the working environment is free from any form of harassment, intimidation, bullying or </w:t>
      </w:r>
      <w:proofErr w:type="gramStart"/>
      <w:r w:rsidRPr="00677250">
        <w:rPr>
          <w:rFonts w:asciiTheme="minorHAnsi" w:hAnsiTheme="minorHAnsi" w:cstheme="minorHAnsi"/>
          <w:szCs w:val="24"/>
        </w:rPr>
        <w:t>victimisation;</w:t>
      </w:r>
      <w:proofErr w:type="gramEnd"/>
    </w:p>
    <w:p w14:paraId="61D30E65" w14:textId="77777777" w:rsidR="002A4AFD" w:rsidRPr="00677250" w:rsidRDefault="002A4AFD" w:rsidP="00341233">
      <w:pPr>
        <w:pStyle w:val="Itembody"/>
        <w:numPr>
          <w:ilvl w:val="0"/>
          <w:numId w:val="2"/>
        </w:numPr>
        <w:spacing w:line="240" w:lineRule="auto"/>
        <w:ind w:left="426" w:hanging="426"/>
        <w:jc w:val="both"/>
        <w:rPr>
          <w:rFonts w:asciiTheme="minorHAnsi" w:hAnsiTheme="minorHAnsi" w:cstheme="minorHAnsi"/>
          <w:szCs w:val="24"/>
        </w:rPr>
      </w:pPr>
      <w:r w:rsidRPr="00677250">
        <w:rPr>
          <w:rFonts w:asciiTheme="minorHAnsi" w:hAnsiTheme="minorHAnsi" w:cstheme="minorHAnsi"/>
          <w:szCs w:val="24"/>
        </w:rPr>
        <w:t xml:space="preserve">No job applicant or employee is treated more or less favourably on the grounds of gender, sexual orientation, age, marital status, race, colour, nationality, ethnic or national origins, creed, religion or </w:t>
      </w:r>
      <w:proofErr w:type="gramStart"/>
      <w:r w:rsidRPr="00677250">
        <w:rPr>
          <w:rFonts w:asciiTheme="minorHAnsi" w:hAnsiTheme="minorHAnsi" w:cstheme="minorHAnsi"/>
          <w:szCs w:val="24"/>
        </w:rPr>
        <w:t>disability;</w:t>
      </w:r>
      <w:proofErr w:type="gramEnd"/>
    </w:p>
    <w:p w14:paraId="78DC2E40" w14:textId="77777777" w:rsidR="002A4AFD" w:rsidRPr="00677250" w:rsidRDefault="002A4AFD" w:rsidP="00341233">
      <w:pPr>
        <w:pStyle w:val="Itembody"/>
        <w:numPr>
          <w:ilvl w:val="0"/>
          <w:numId w:val="2"/>
        </w:numPr>
        <w:spacing w:line="240" w:lineRule="auto"/>
        <w:ind w:left="426" w:hanging="426"/>
        <w:jc w:val="both"/>
        <w:rPr>
          <w:rFonts w:asciiTheme="minorHAnsi" w:hAnsiTheme="minorHAnsi" w:cstheme="minorHAnsi"/>
          <w:szCs w:val="24"/>
        </w:rPr>
      </w:pPr>
      <w:r w:rsidRPr="00677250">
        <w:rPr>
          <w:rFonts w:asciiTheme="minorHAnsi" w:hAnsiTheme="minorHAnsi" w:cstheme="minorHAnsi"/>
          <w:szCs w:val="24"/>
        </w:rPr>
        <w:t>No job applicant or employee is disadvantaged by conditions or requirements which cannot be justified by the requirements of the job.</w:t>
      </w:r>
    </w:p>
    <w:p w14:paraId="31E74D3B" w14:textId="77777777" w:rsidR="002A4AFD" w:rsidRPr="00677250" w:rsidRDefault="002A4AFD" w:rsidP="00341233">
      <w:pPr>
        <w:pStyle w:val="Itembody"/>
        <w:spacing w:line="240" w:lineRule="auto"/>
        <w:ind w:left="0"/>
        <w:jc w:val="both"/>
        <w:rPr>
          <w:rFonts w:asciiTheme="minorHAnsi" w:hAnsiTheme="minorHAnsi" w:cstheme="minorHAnsi"/>
          <w:szCs w:val="24"/>
        </w:rPr>
      </w:pPr>
    </w:p>
    <w:p w14:paraId="118A8D34" w14:textId="77777777" w:rsidR="002A4AFD" w:rsidRPr="00677250" w:rsidRDefault="002A4AFD" w:rsidP="00341233">
      <w:pPr>
        <w:pStyle w:val="Heading2"/>
        <w:ind w:left="0"/>
        <w:jc w:val="both"/>
        <w:rPr>
          <w:rFonts w:asciiTheme="minorHAnsi" w:hAnsiTheme="minorHAnsi" w:cstheme="minorHAnsi"/>
          <w:b/>
          <w:szCs w:val="24"/>
        </w:rPr>
      </w:pPr>
      <w:bookmarkStart w:id="25" w:name="_Toc232487064"/>
      <w:bookmarkStart w:id="26" w:name="_Toc494811047"/>
      <w:bookmarkStart w:id="27" w:name="_Toc108001999"/>
      <w:r w:rsidRPr="00677250">
        <w:rPr>
          <w:rFonts w:asciiTheme="minorHAnsi" w:hAnsiTheme="minorHAnsi" w:cstheme="minorHAnsi"/>
          <w:b/>
          <w:szCs w:val="24"/>
        </w:rPr>
        <w:t>Data protection</w:t>
      </w:r>
      <w:bookmarkEnd w:id="25"/>
      <w:bookmarkEnd w:id="26"/>
      <w:bookmarkEnd w:id="27"/>
    </w:p>
    <w:p w14:paraId="0B57C349" w14:textId="77777777" w:rsidR="002A4AFD" w:rsidRPr="00677250" w:rsidRDefault="002A4AFD" w:rsidP="00341233">
      <w:pPr>
        <w:pStyle w:val="Itembody"/>
        <w:spacing w:line="240" w:lineRule="auto"/>
        <w:ind w:left="0"/>
        <w:jc w:val="both"/>
        <w:rPr>
          <w:rFonts w:asciiTheme="minorHAnsi" w:hAnsiTheme="minorHAnsi" w:cstheme="minorHAnsi"/>
          <w:szCs w:val="24"/>
        </w:rPr>
      </w:pPr>
      <w:r w:rsidRPr="00677250">
        <w:rPr>
          <w:rFonts w:asciiTheme="minorHAnsi" w:hAnsiTheme="minorHAnsi" w:cstheme="minorHAnsi"/>
          <w:szCs w:val="24"/>
        </w:rPr>
        <w:t xml:space="preserve">Any data about you will be held in secure conditions with access restricted to those who need it in connection with dealing with your application and the selection process. Data may be used for the purposes of monitoring the effectiveness of the recruitment process but in these circumstances all data will be kept anonymous. The equal opportunities monitoring form is used for monitoring the selection process only. If you do not wish to have these details recorded please return the form uncompleted. If you are unsuccessful, personal details relating to your application will be destroyed after 6 months. </w:t>
      </w:r>
    </w:p>
    <w:p w14:paraId="40EB6E42" w14:textId="77777777" w:rsidR="002A4AFD" w:rsidRPr="00677250" w:rsidRDefault="002A4AFD" w:rsidP="00341233">
      <w:pPr>
        <w:pStyle w:val="Itembody"/>
        <w:spacing w:line="240" w:lineRule="auto"/>
        <w:ind w:left="0"/>
        <w:jc w:val="both"/>
        <w:rPr>
          <w:rFonts w:asciiTheme="minorHAnsi" w:hAnsiTheme="minorHAnsi" w:cstheme="minorHAnsi"/>
          <w:szCs w:val="24"/>
        </w:rPr>
      </w:pPr>
    </w:p>
    <w:p w14:paraId="22F1B04C" w14:textId="77777777" w:rsidR="002A4AFD" w:rsidRPr="00677250" w:rsidRDefault="002A4AFD" w:rsidP="00341233">
      <w:pPr>
        <w:pStyle w:val="Heading2"/>
        <w:ind w:left="0"/>
        <w:jc w:val="both"/>
        <w:rPr>
          <w:rFonts w:asciiTheme="minorHAnsi" w:hAnsiTheme="minorHAnsi" w:cstheme="minorHAnsi"/>
          <w:b/>
          <w:szCs w:val="24"/>
        </w:rPr>
      </w:pPr>
      <w:bookmarkStart w:id="28" w:name="_Toc232487065"/>
      <w:bookmarkStart w:id="29" w:name="_Toc494811048"/>
      <w:bookmarkStart w:id="30" w:name="_Toc108002000"/>
      <w:r w:rsidRPr="00677250">
        <w:rPr>
          <w:rFonts w:asciiTheme="minorHAnsi" w:hAnsiTheme="minorHAnsi" w:cstheme="minorHAnsi"/>
          <w:b/>
          <w:szCs w:val="24"/>
        </w:rPr>
        <w:t>Pre-employment checks</w:t>
      </w:r>
      <w:bookmarkEnd w:id="28"/>
      <w:bookmarkEnd w:id="29"/>
      <w:bookmarkEnd w:id="30"/>
    </w:p>
    <w:p w14:paraId="2D0510AD" w14:textId="3A4FBB8A" w:rsidR="002A4AFD" w:rsidRPr="00677250" w:rsidRDefault="002A4AFD" w:rsidP="00341233">
      <w:pPr>
        <w:pStyle w:val="Itembody"/>
        <w:spacing w:line="240" w:lineRule="auto"/>
        <w:ind w:left="0"/>
        <w:jc w:val="both"/>
        <w:rPr>
          <w:rFonts w:asciiTheme="minorHAnsi" w:hAnsiTheme="minorHAnsi" w:cstheme="minorHAnsi"/>
          <w:szCs w:val="24"/>
        </w:rPr>
      </w:pPr>
      <w:r w:rsidRPr="00677250">
        <w:rPr>
          <w:rFonts w:asciiTheme="minorHAnsi" w:hAnsiTheme="minorHAnsi" w:cstheme="minorHAnsi"/>
          <w:bCs/>
          <w:szCs w:val="24"/>
        </w:rPr>
        <w:t xml:space="preserve">The successful candidate will be subject to the satisfactory completion of pre-appointment enquiries including </w:t>
      </w:r>
      <w:r w:rsidR="004B6178" w:rsidRPr="00677250">
        <w:rPr>
          <w:rFonts w:asciiTheme="minorHAnsi" w:hAnsiTheme="minorHAnsi" w:cstheme="minorHAnsi"/>
          <w:bCs/>
          <w:szCs w:val="24"/>
        </w:rPr>
        <w:t xml:space="preserve">management </w:t>
      </w:r>
      <w:r w:rsidRPr="00677250">
        <w:rPr>
          <w:rFonts w:asciiTheme="minorHAnsi" w:hAnsiTheme="minorHAnsi" w:cstheme="minorHAnsi"/>
          <w:bCs/>
          <w:szCs w:val="24"/>
        </w:rPr>
        <w:t>vetting</w:t>
      </w:r>
      <w:r w:rsidR="004B6178" w:rsidRPr="00677250">
        <w:rPr>
          <w:rFonts w:asciiTheme="minorHAnsi" w:hAnsiTheme="minorHAnsi" w:cstheme="minorHAnsi"/>
          <w:bCs/>
          <w:szCs w:val="24"/>
        </w:rPr>
        <w:t xml:space="preserve"> </w:t>
      </w:r>
      <w:r w:rsidRPr="00677250">
        <w:rPr>
          <w:rFonts w:asciiTheme="minorHAnsi" w:hAnsiTheme="minorHAnsi" w:cstheme="minorHAnsi"/>
          <w:bCs/>
          <w:szCs w:val="24"/>
        </w:rPr>
        <w:t xml:space="preserve">and </w:t>
      </w:r>
      <w:proofErr w:type="gramStart"/>
      <w:r w:rsidRPr="00677250">
        <w:rPr>
          <w:rFonts w:asciiTheme="minorHAnsi" w:hAnsiTheme="minorHAnsi" w:cstheme="minorHAnsi"/>
          <w:bCs/>
          <w:szCs w:val="24"/>
        </w:rPr>
        <w:t>references, before</w:t>
      </w:r>
      <w:proofErr w:type="gramEnd"/>
      <w:r w:rsidRPr="00677250">
        <w:rPr>
          <w:rFonts w:asciiTheme="minorHAnsi" w:hAnsiTheme="minorHAnsi" w:cstheme="minorHAnsi"/>
          <w:bCs/>
          <w:szCs w:val="24"/>
        </w:rPr>
        <w:t xml:space="preserve"> an appointment can be offered formally. The successful candidate will be required to sign a contract with the Authority before taking up appointment</w:t>
      </w:r>
      <w:r w:rsidRPr="00677250">
        <w:rPr>
          <w:rFonts w:asciiTheme="minorHAnsi" w:hAnsiTheme="minorHAnsi" w:cstheme="minorHAnsi"/>
          <w:szCs w:val="24"/>
        </w:rPr>
        <w:t>.</w:t>
      </w:r>
    </w:p>
    <w:p w14:paraId="365D981C" w14:textId="77777777" w:rsidR="00FD0130" w:rsidRPr="00677250" w:rsidRDefault="00FD0130" w:rsidP="00341233">
      <w:pPr>
        <w:pStyle w:val="Itembody"/>
        <w:spacing w:line="240" w:lineRule="auto"/>
        <w:ind w:left="0"/>
        <w:jc w:val="both"/>
        <w:rPr>
          <w:rFonts w:asciiTheme="minorHAnsi" w:hAnsiTheme="minorHAnsi" w:cstheme="minorHAnsi"/>
          <w:szCs w:val="24"/>
        </w:rPr>
      </w:pPr>
    </w:p>
    <w:p w14:paraId="3FA14D27" w14:textId="77777777" w:rsidR="00FD0130" w:rsidRPr="00677250" w:rsidRDefault="00FD0130" w:rsidP="00341233">
      <w:pPr>
        <w:pStyle w:val="Itembody"/>
        <w:spacing w:line="240" w:lineRule="auto"/>
        <w:ind w:left="0"/>
        <w:jc w:val="both"/>
        <w:rPr>
          <w:rFonts w:asciiTheme="minorHAnsi" w:hAnsiTheme="minorHAnsi" w:cstheme="minorHAnsi"/>
          <w:szCs w:val="24"/>
        </w:rPr>
      </w:pPr>
      <w:r w:rsidRPr="00677250">
        <w:rPr>
          <w:rFonts w:asciiTheme="minorHAnsi" w:hAnsiTheme="minorHAnsi" w:cstheme="minorHAnsi"/>
          <w:szCs w:val="24"/>
        </w:rPr>
        <w:t>It is a requirement of the pre</w:t>
      </w:r>
      <w:r w:rsidR="00246FDA" w:rsidRPr="00677250">
        <w:rPr>
          <w:rFonts w:asciiTheme="minorHAnsi" w:hAnsiTheme="minorHAnsi" w:cstheme="minorHAnsi"/>
          <w:szCs w:val="24"/>
        </w:rPr>
        <w:t>-</w:t>
      </w:r>
      <w:r w:rsidRPr="00677250">
        <w:rPr>
          <w:rFonts w:asciiTheme="minorHAnsi" w:hAnsiTheme="minorHAnsi" w:cstheme="minorHAnsi"/>
          <w:szCs w:val="24"/>
        </w:rPr>
        <w:t>e</w:t>
      </w:r>
      <w:r w:rsidR="00246FDA" w:rsidRPr="00677250">
        <w:rPr>
          <w:rFonts w:asciiTheme="minorHAnsi" w:hAnsiTheme="minorHAnsi" w:cstheme="minorHAnsi"/>
          <w:szCs w:val="24"/>
        </w:rPr>
        <w:t>m</w:t>
      </w:r>
      <w:r w:rsidRPr="00677250">
        <w:rPr>
          <w:rFonts w:asciiTheme="minorHAnsi" w:hAnsiTheme="minorHAnsi" w:cstheme="minorHAnsi"/>
          <w:szCs w:val="24"/>
        </w:rPr>
        <w:t>p</w:t>
      </w:r>
      <w:r w:rsidR="00246FDA" w:rsidRPr="00677250">
        <w:rPr>
          <w:rFonts w:asciiTheme="minorHAnsi" w:hAnsiTheme="minorHAnsi" w:cstheme="minorHAnsi"/>
          <w:szCs w:val="24"/>
        </w:rPr>
        <w:t>l</w:t>
      </w:r>
      <w:r w:rsidRPr="00677250">
        <w:rPr>
          <w:rFonts w:asciiTheme="minorHAnsi" w:hAnsiTheme="minorHAnsi" w:cstheme="minorHAnsi"/>
          <w:szCs w:val="24"/>
        </w:rPr>
        <w:t xml:space="preserve">oyment checks that you have been resident in the UK for the last </w:t>
      </w:r>
      <w:r w:rsidR="00246FDA" w:rsidRPr="00677250">
        <w:rPr>
          <w:rFonts w:asciiTheme="minorHAnsi" w:hAnsiTheme="minorHAnsi" w:cstheme="minorHAnsi"/>
          <w:szCs w:val="24"/>
        </w:rPr>
        <w:t>three</w:t>
      </w:r>
      <w:r w:rsidRPr="00677250">
        <w:rPr>
          <w:rFonts w:asciiTheme="minorHAnsi" w:hAnsiTheme="minorHAnsi" w:cstheme="minorHAnsi"/>
          <w:szCs w:val="24"/>
        </w:rPr>
        <w:t xml:space="preserve"> years.</w:t>
      </w:r>
    </w:p>
    <w:p w14:paraId="2A19A8FC" w14:textId="77777777" w:rsidR="002A4AFD" w:rsidRPr="00677250" w:rsidRDefault="002A4AFD" w:rsidP="00341233">
      <w:pPr>
        <w:pStyle w:val="Itembody"/>
        <w:spacing w:line="240" w:lineRule="auto"/>
        <w:ind w:left="0"/>
        <w:jc w:val="both"/>
        <w:rPr>
          <w:rFonts w:asciiTheme="minorHAnsi" w:hAnsiTheme="minorHAnsi" w:cstheme="minorHAnsi"/>
          <w:szCs w:val="24"/>
        </w:rPr>
      </w:pPr>
    </w:p>
    <w:p w14:paraId="3574A0E4" w14:textId="77777777" w:rsidR="002A4AFD" w:rsidRPr="00677250" w:rsidRDefault="002A4AFD" w:rsidP="00341233">
      <w:pPr>
        <w:pStyle w:val="Heading2"/>
        <w:ind w:left="0"/>
        <w:jc w:val="both"/>
        <w:rPr>
          <w:rFonts w:asciiTheme="minorHAnsi" w:hAnsiTheme="minorHAnsi" w:cstheme="minorHAnsi"/>
          <w:b/>
          <w:szCs w:val="24"/>
        </w:rPr>
      </w:pPr>
      <w:bookmarkStart w:id="31" w:name="_Toc232487066"/>
      <w:bookmarkStart w:id="32" w:name="_Toc494811049"/>
      <w:bookmarkStart w:id="33" w:name="_Toc108002001"/>
      <w:r w:rsidRPr="00677250">
        <w:rPr>
          <w:rFonts w:asciiTheme="minorHAnsi" w:hAnsiTheme="minorHAnsi" w:cstheme="minorHAnsi"/>
          <w:b/>
          <w:szCs w:val="24"/>
        </w:rPr>
        <w:t>Travel costs</w:t>
      </w:r>
      <w:bookmarkEnd w:id="31"/>
      <w:bookmarkEnd w:id="32"/>
      <w:bookmarkEnd w:id="33"/>
    </w:p>
    <w:p w14:paraId="564D2065" w14:textId="77777777" w:rsidR="002A4AFD" w:rsidRPr="00677250" w:rsidRDefault="002A4AFD" w:rsidP="00341233">
      <w:pPr>
        <w:pStyle w:val="Itembody"/>
        <w:spacing w:line="240" w:lineRule="auto"/>
        <w:ind w:left="0"/>
        <w:jc w:val="both"/>
        <w:rPr>
          <w:rFonts w:asciiTheme="minorHAnsi" w:hAnsiTheme="minorHAnsi" w:cstheme="minorHAnsi"/>
          <w:szCs w:val="24"/>
        </w:rPr>
      </w:pPr>
      <w:r w:rsidRPr="00677250">
        <w:rPr>
          <w:rFonts w:asciiTheme="minorHAnsi" w:hAnsiTheme="minorHAnsi" w:cstheme="minorHAnsi"/>
          <w:bCs/>
          <w:szCs w:val="24"/>
        </w:rPr>
        <w:t>There are no arrangements for the reimbursement of travel costs</w:t>
      </w:r>
      <w:r w:rsidRPr="00677250">
        <w:rPr>
          <w:rFonts w:asciiTheme="minorHAnsi" w:hAnsiTheme="minorHAnsi" w:cstheme="minorHAnsi"/>
          <w:szCs w:val="24"/>
        </w:rPr>
        <w:t>.</w:t>
      </w:r>
    </w:p>
    <w:bookmarkEnd w:id="17"/>
    <w:bookmarkEnd w:id="21"/>
    <w:p w14:paraId="67E0AD2A" w14:textId="77777777" w:rsidR="002A4AFD" w:rsidRPr="00677250" w:rsidRDefault="002A4AFD" w:rsidP="00341233">
      <w:pPr>
        <w:pStyle w:val="Itembody"/>
        <w:spacing w:line="240" w:lineRule="auto"/>
        <w:ind w:left="0"/>
        <w:rPr>
          <w:rFonts w:asciiTheme="minorHAnsi" w:hAnsiTheme="minorHAnsi" w:cstheme="minorHAnsi"/>
          <w:szCs w:val="24"/>
        </w:rPr>
      </w:pPr>
    </w:p>
    <w:sectPr w:rsidR="002A4AFD" w:rsidRPr="00677250" w:rsidSect="00341233">
      <w:footerReference w:type="default" r:id="rId16"/>
      <w:pgSz w:w="11899" w:h="16838"/>
      <w:pgMar w:top="1440"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E89C" w14:textId="77777777" w:rsidR="00732AAE" w:rsidRDefault="00732AAE">
      <w:r>
        <w:separator/>
      </w:r>
    </w:p>
    <w:p w14:paraId="03BC7FF8" w14:textId="77777777" w:rsidR="00732AAE" w:rsidRDefault="00732AAE"/>
  </w:endnote>
  <w:endnote w:type="continuationSeparator" w:id="0">
    <w:p w14:paraId="3A94AC73" w14:textId="77777777" w:rsidR="00732AAE" w:rsidRDefault="00732AAE">
      <w:r>
        <w:continuationSeparator/>
      </w:r>
    </w:p>
    <w:p w14:paraId="74A87956" w14:textId="77777777" w:rsidR="00732AAE" w:rsidRDefault="0073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Gotham-Book">
    <w:altName w:val="Times New Roman"/>
    <w:charset w:val="00"/>
    <w:family w:val="auto"/>
    <w:pitch w:val="variable"/>
    <w:sig w:usb0="03000000" w:usb1="00000000" w:usb2="00000000" w:usb3="00000000" w:csb0="00000001" w:csb1="00000000"/>
  </w:font>
  <w:font w:name="Gotham-Bold">
    <w:altName w:val="Calibri"/>
    <w:panose1 w:val="00000000000000000000"/>
    <w:charset w:val="00"/>
    <w:family w:val="auto"/>
    <w:notTrueType/>
    <w:pitch w:val="default"/>
    <w:sig w:usb0="00000003" w:usb1="00000000" w:usb2="00000000" w:usb3="00000000" w:csb0="00000001" w:csb1="00000000"/>
  </w:font>
  <w:font w:name="Gotham-BookItalic">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223418"/>
      <w:docPartObj>
        <w:docPartGallery w:val="Page Numbers (Bottom of Page)"/>
        <w:docPartUnique/>
      </w:docPartObj>
    </w:sdtPr>
    <w:sdtEndPr>
      <w:rPr>
        <w:noProof/>
      </w:rPr>
    </w:sdtEndPr>
    <w:sdtContent>
      <w:p w14:paraId="4FB1E53A" w14:textId="36572B5C" w:rsidR="00593BED" w:rsidRDefault="00593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C6090" w14:textId="77777777" w:rsidR="00593BED" w:rsidRDefault="0059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035D" w14:textId="77777777" w:rsidR="00732AAE" w:rsidRDefault="00732AAE">
      <w:r>
        <w:separator/>
      </w:r>
    </w:p>
    <w:p w14:paraId="51D2AA9A" w14:textId="77777777" w:rsidR="00732AAE" w:rsidRDefault="00732AAE"/>
  </w:footnote>
  <w:footnote w:type="continuationSeparator" w:id="0">
    <w:p w14:paraId="674CDACB" w14:textId="77777777" w:rsidR="00732AAE" w:rsidRDefault="00732AAE">
      <w:r>
        <w:continuationSeparator/>
      </w:r>
    </w:p>
    <w:p w14:paraId="0A7288BF" w14:textId="77777777" w:rsidR="00732AAE" w:rsidRDefault="00732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3ED"/>
    <w:multiLevelType w:val="hybridMultilevel"/>
    <w:tmpl w:val="FF2E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E5DF3"/>
    <w:multiLevelType w:val="hybridMultilevel"/>
    <w:tmpl w:val="E4A4F300"/>
    <w:lvl w:ilvl="0" w:tplc="7F7C337E">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45B3EB4"/>
    <w:multiLevelType w:val="hybridMultilevel"/>
    <w:tmpl w:val="724C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4549"/>
    <w:multiLevelType w:val="hybridMultilevel"/>
    <w:tmpl w:val="6E1A6A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1855846"/>
    <w:multiLevelType w:val="multilevel"/>
    <w:tmpl w:val="A5D800A2"/>
    <w:numStyleLink w:val="BTPAMeetingPapernumbering"/>
  </w:abstractNum>
  <w:abstractNum w:abstractNumId="5" w15:restartNumberingAfterBreak="0">
    <w:nsid w:val="16E45A91"/>
    <w:multiLevelType w:val="hybridMultilevel"/>
    <w:tmpl w:val="8ECC9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175EF"/>
    <w:multiLevelType w:val="hybridMultilevel"/>
    <w:tmpl w:val="9E04AB7A"/>
    <w:lvl w:ilvl="0" w:tplc="86D2A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323EF"/>
    <w:multiLevelType w:val="hybridMultilevel"/>
    <w:tmpl w:val="6BF8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B2005"/>
    <w:multiLevelType w:val="hybridMultilevel"/>
    <w:tmpl w:val="10A27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A6715"/>
    <w:multiLevelType w:val="hybridMultilevel"/>
    <w:tmpl w:val="97A8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B32F6"/>
    <w:multiLevelType w:val="hybridMultilevel"/>
    <w:tmpl w:val="8E8296A0"/>
    <w:lvl w:ilvl="0" w:tplc="E4DC8520">
      <w:numFmt w:val="bullet"/>
      <w:lvlText w:val="•"/>
      <w:lvlJc w:val="left"/>
      <w:pPr>
        <w:ind w:left="720" w:hanging="360"/>
      </w:pPr>
      <w:rPr>
        <w:rFonts w:ascii="Arial" w:eastAsiaTheme="minorHAnsi"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83F37"/>
    <w:multiLevelType w:val="hybridMultilevel"/>
    <w:tmpl w:val="7EFAD67E"/>
    <w:lvl w:ilvl="0" w:tplc="78B428C6">
      <w:start w:val="1"/>
      <w:numFmt w:val="decimal"/>
      <w:lvlText w:val="%1."/>
      <w:lvlJc w:val="left"/>
      <w:pPr>
        <w:ind w:left="153" w:hanging="360"/>
      </w:pPr>
      <w:rPr>
        <w:rFonts w:eastAsia="Calibri" w:hint="default"/>
        <w:b w:val="0"/>
        <w:color w:val="auto"/>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2379127A"/>
    <w:multiLevelType w:val="hybridMultilevel"/>
    <w:tmpl w:val="13E46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AF2303"/>
    <w:multiLevelType w:val="hybridMultilevel"/>
    <w:tmpl w:val="A6FC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4679E"/>
    <w:multiLevelType w:val="hybridMultilevel"/>
    <w:tmpl w:val="E82C6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F5CD4"/>
    <w:multiLevelType w:val="hybridMultilevel"/>
    <w:tmpl w:val="393C11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6CB36B5"/>
    <w:multiLevelType w:val="hybridMultilevel"/>
    <w:tmpl w:val="609E0B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7CA05EE"/>
    <w:multiLevelType w:val="hybridMultilevel"/>
    <w:tmpl w:val="ED36DA08"/>
    <w:lvl w:ilvl="0" w:tplc="7700B67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0420D"/>
    <w:multiLevelType w:val="multilevel"/>
    <w:tmpl w:val="705609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ascii="Gotham Book" w:hAnsi="Gotham Book"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12E3B60"/>
    <w:multiLevelType w:val="hybridMultilevel"/>
    <w:tmpl w:val="53E86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C45B0"/>
    <w:multiLevelType w:val="hybridMultilevel"/>
    <w:tmpl w:val="792E732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47B773D4"/>
    <w:multiLevelType w:val="hybridMultilevel"/>
    <w:tmpl w:val="126E4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507AB"/>
    <w:multiLevelType w:val="hybridMultilevel"/>
    <w:tmpl w:val="A3767CF6"/>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4F3444F7"/>
    <w:multiLevelType w:val="hybridMultilevel"/>
    <w:tmpl w:val="EEE4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665C7"/>
    <w:multiLevelType w:val="hybridMultilevel"/>
    <w:tmpl w:val="AD52A922"/>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5" w15:restartNumberingAfterBreak="0">
    <w:nsid w:val="62D37EC9"/>
    <w:multiLevelType w:val="hybridMultilevel"/>
    <w:tmpl w:val="62FA8822"/>
    <w:lvl w:ilvl="0" w:tplc="7700B67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6670B"/>
    <w:multiLevelType w:val="hybridMultilevel"/>
    <w:tmpl w:val="62FA8822"/>
    <w:lvl w:ilvl="0" w:tplc="7700B67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073E2"/>
    <w:multiLevelType w:val="hybridMultilevel"/>
    <w:tmpl w:val="A720E648"/>
    <w:lvl w:ilvl="0" w:tplc="21FC3E90">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72046407"/>
    <w:multiLevelType w:val="hybridMultilevel"/>
    <w:tmpl w:val="E7AEA204"/>
    <w:lvl w:ilvl="0" w:tplc="08090005">
      <w:start w:val="1"/>
      <w:numFmt w:val="bullet"/>
      <w:lvlText w:val=""/>
      <w:lvlJc w:val="left"/>
      <w:pPr>
        <w:ind w:left="720" w:hanging="360"/>
      </w:pPr>
      <w:rPr>
        <w:rFonts w:ascii="Wingdings" w:hAnsi="Wingdings"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44471"/>
    <w:multiLevelType w:val="hybridMultilevel"/>
    <w:tmpl w:val="E9FC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E1E5E"/>
    <w:multiLevelType w:val="multilevel"/>
    <w:tmpl w:val="A5D800A2"/>
    <w:styleLink w:val="BTPAMeetingPapernumbering"/>
    <w:lvl w:ilvl="0">
      <w:start w:val="1"/>
      <w:numFmt w:val="decimal"/>
      <w:lvlText w:val="%1."/>
      <w:lvlJc w:val="left"/>
      <w:pPr>
        <w:tabs>
          <w:tab w:val="num" w:pos="0"/>
        </w:tabs>
        <w:ind w:left="0" w:firstLine="0"/>
      </w:pPr>
      <w:rPr>
        <w:rFonts w:ascii="Gotham Bold" w:hAnsi="Gotham Bold" w:hint="default"/>
        <w:color w:val="auto"/>
        <w:sz w:val="28"/>
        <w:szCs w:val="28"/>
      </w:rPr>
    </w:lvl>
    <w:lvl w:ilvl="1">
      <w:start w:val="1"/>
      <w:numFmt w:val="decimal"/>
      <w:lvlText w:val="%1.%2"/>
      <w:lvlJc w:val="left"/>
      <w:pPr>
        <w:tabs>
          <w:tab w:val="num" w:pos="567"/>
        </w:tabs>
        <w:ind w:left="1134" w:hanging="567"/>
      </w:pPr>
      <w:rPr>
        <w:rFonts w:ascii="Gotham Book" w:hAnsi="Gotham Book" w:hint="default"/>
        <w:b w:val="0"/>
        <w:i w:val="0"/>
        <w:sz w:val="24"/>
        <w:szCs w:val="24"/>
      </w:rPr>
    </w:lvl>
    <w:lvl w:ilvl="2">
      <w:start w:val="1"/>
      <w:numFmt w:val="bullet"/>
      <w:lvlText w:val=""/>
      <w:lvlJc w:val="left"/>
      <w:pPr>
        <w:tabs>
          <w:tab w:val="num" w:pos="2007"/>
        </w:tabs>
        <w:ind w:left="2007" w:hanging="567"/>
      </w:pPr>
      <w:rPr>
        <w:rFonts w:ascii="Symbol" w:hAnsi="Symbol" w:hint="default"/>
        <w:color w:val="auto"/>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BA95C1E"/>
    <w:multiLevelType w:val="hybridMultilevel"/>
    <w:tmpl w:val="C0C8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42FC8"/>
    <w:multiLevelType w:val="hybridMultilevel"/>
    <w:tmpl w:val="CB96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C6B41"/>
    <w:multiLevelType w:val="hybridMultilevel"/>
    <w:tmpl w:val="BD62C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22"/>
  </w:num>
  <w:num w:numId="4">
    <w:abstractNumId w:val="30"/>
  </w:num>
  <w:num w:numId="5">
    <w:abstractNumId w:val="4"/>
    <w:lvlOverride w:ilvl="0">
      <w:lvl w:ilvl="0">
        <w:start w:val="1"/>
        <w:numFmt w:val="decimal"/>
        <w:lvlText w:val="%1."/>
        <w:lvlJc w:val="left"/>
        <w:pPr>
          <w:tabs>
            <w:tab w:val="num" w:pos="0"/>
          </w:tabs>
          <w:ind w:left="0" w:firstLine="0"/>
        </w:pPr>
        <w:rPr>
          <w:rFonts w:ascii="Gotham Bold" w:hAnsi="Gotham Bold" w:hint="default"/>
          <w:color w:val="auto"/>
          <w:sz w:val="28"/>
          <w:szCs w:val="28"/>
        </w:rPr>
      </w:lvl>
    </w:lvlOverride>
    <w:lvlOverride w:ilvl="1">
      <w:lvl w:ilvl="1">
        <w:start w:val="1"/>
        <w:numFmt w:val="decimal"/>
        <w:lvlText w:val="%1.%2"/>
        <w:lvlJc w:val="left"/>
        <w:pPr>
          <w:tabs>
            <w:tab w:val="num" w:pos="568"/>
          </w:tabs>
          <w:ind w:left="1135" w:hanging="567"/>
        </w:pPr>
        <w:rPr>
          <w:rFonts w:ascii="Gotham Book" w:hAnsi="Gotham Book" w:hint="default"/>
          <w:b w:val="0"/>
          <w:i w:val="0"/>
          <w:sz w:val="24"/>
          <w:szCs w:val="24"/>
        </w:rPr>
      </w:lvl>
    </w:lvlOverride>
    <w:lvlOverride w:ilvl="2">
      <w:lvl w:ilvl="2">
        <w:start w:val="1"/>
        <w:numFmt w:val="bullet"/>
        <w:lvlText w:val=""/>
        <w:lvlJc w:val="left"/>
        <w:pPr>
          <w:tabs>
            <w:tab w:val="num" w:pos="2007"/>
          </w:tabs>
          <w:ind w:left="2007" w:hanging="567"/>
        </w:pPr>
        <w:rPr>
          <w:rFonts w:ascii="Symbol" w:hAnsi="Symbol" w:hint="default"/>
          <w:color w:val="auto"/>
          <w:sz w:val="24"/>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6">
    <w:abstractNumId w:val="15"/>
  </w:num>
  <w:num w:numId="7">
    <w:abstractNumId w:val="19"/>
  </w:num>
  <w:num w:numId="8">
    <w:abstractNumId w:val="5"/>
  </w:num>
  <w:num w:numId="9">
    <w:abstractNumId w:val="7"/>
  </w:num>
  <w:num w:numId="10">
    <w:abstractNumId w:val="13"/>
  </w:num>
  <w:num w:numId="11">
    <w:abstractNumId w:val="21"/>
  </w:num>
  <w:num w:numId="12">
    <w:abstractNumId w:val="33"/>
  </w:num>
  <w:num w:numId="13">
    <w:abstractNumId w:val="0"/>
  </w:num>
  <w:num w:numId="14">
    <w:abstractNumId w:val="32"/>
  </w:num>
  <w:num w:numId="15">
    <w:abstractNumId w:val="20"/>
  </w:num>
  <w:num w:numId="16">
    <w:abstractNumId w:val="24"/>
  </w:num>
  <w:num w:numId="17">
    <w:abstractNumId w:val="23"/>
  </w:num>
  <w:num w:numId="18">
    <w:abstractNumId w:val="11"/>
  </w:num>
  <w:num w:numId="19">
    <w:abstractNumId w:val="1"/>
  </w:num>
  <w:num w:numId="20">
    <w:abstractNumId w:val="10"/>
  </w:num>
  <w:num w:numId="21">
    <w:abstractNumId w:val="27"/>
  </w:num>
  <w:num w:numId="22">
    <w:abstractNumId w:val="12"/>
  </w:num>
  <w:num w:numId="23">
    <w:abstractNumId w:val="31"/>
  </w:num>
  <w:num w:numId="24">
    <w:abstractNumId w:val="2"/>
  </w:num>
  <w:num w:numId="25">
    <w:abstractNumId w:val="9"/>
  </w:num>
  <w:num w:numId="26">
    <w:abstractNumId w:val="25"/>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17"/>
  </w:num>
  <w:num w:numId="31">
    <w:abstractNumId w:val="26"/>
  </w:num>
  <w:num w:numId="32">
    <w:abstractNumId w:val="28"/>
  </w:num>
  <w:num w:numId="33">
    <w:abstractNumId w:val="14"/>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70"/>
    <w:rsid w:val="000009C3"/>
    <w:rsid w:val="0000164F"/>
    <w:rsid w:val="00002FCB"/>
    <w:rsid w:val="00003035"/>
    <w:rsid w:val="000165CA"/>
    <w:rsid w:val="00023C00"/>
    <w:rsid w:val="00023FD6"/>
    <w:rsid w:val="00033327"/>
    <w:rsid w:val="00036587"/>
    <w:rsid w:val="00041421"/>
    <w:rsid w:val="00043AAD"/>
    <w:rsid w:val="0006224E"/>
    <w:rsid w:val="00063158"/>
    <w:rsid w:val="0007355C"/>
    <w:rsid w:val="00073B86"/>
    <w:rsid w:val="00073E92"/>
    <w:rsid w:val="00083D6D"/>
    <w:rsid w:val="00083FEB"/>
    <w:rsid w:val="0008415D"/>
    <w:rsid w:val="00090F84"/>
    <w:rsid w:val="000B2754"/>
    <w:rsid w:val="000B556B"/>
    <w:rsid w:val="000C16EC"/>
    <w:rsid w:val="000C2EFA"/>
    <w:rsid w:val="000C4B9E"/>
    <w:rsid w:val="000C79B7"/>
    <w:rsid w:val="000D1F87"/>
    <w:rsid w:val="000D71CE"/>
    <w:rsid w:val="000E073D"/>
    <w:rsid w:val="000E4876"/>
    <w:rsid w:val="000E7EDB"/>
    <w:rsid w:val="000F0958"/>
    <w:rsid w:val="000F4950"/>
    <w:rsid w:val="00110B91"/>
    <w:rsid w:val="00113D57"/>
    <w:rsid w:val="00122D18"/>
    <w:rsid w:val="001255FF"/>
    <w:rsid w:val="00132B91"/>
    <w:rsid w:val="001413DD"/>
    <w:rsid w:val="00146BB3"/>
    <w:rsid w:val="00155A65"/>
    <w:rsid w:val="00156DD0"/>
    <w:rsid w:val="00160C84"/>
    <w:rsid w:val="00161BF3"/>
    <w:rsid w:val="00162E30"/>
    <w:rsid w:val="001779DA"/>
    <w:rsid w:val="00180303"/>
    <w:rsid w:val="00181E6D"/>
    <w:rsid w:val="001863F5"/>
    <w:rsid w:val="001937B8"/>
    <w:rsid w:val="00194A6A"/>
    <w:rsid w:val="001A1752"/>
    <w:rsid w:val="001A7306"/>
    <w:rsid w:val="001B0568"/>
    <w:rsid w:val="001C691A"/>
    <w:rsid w:val="001D5707"/>
    <w:rsid w:val="001D6072"/>
    <w:rsid w:val="001E0BBB"/>
    <w:rsid w:val="001E3393"/>
    <w:rsid w:val="001F1E13"/>
    <w:rsid w:val="001F6E69"/>
    <w:rsid w:val="00203BE7"/>
    <w:rsid w:val="002068D3"/>
    <w:rsid w:val="0021126F"/>
    <w:rsid w:val="00223214"/>
    <w:rsid w:val="002234B1"/>
    <w:rsid w:val="00225DCE"/>
    <w:rsid w:val="00231077"/>
    <w:rsid w:val="00231142"/>
    <w:rsid w:val="002365D8"/>
    <w:rsid w:val="00246FDA"/>
    <w:rsid w:val="00253CB3"/>
    <w:rsid w:val="00255712"/>
    <w:rsid w:val="0025762E"/>
    <w:rsid w:val="0026191D"/>
    <w:rsid w:val="00264181"/>
    <w:rsid w:val="002645DE"/>
    <w:rsid w:val="0027247E"/>
    <w:rsid w:val="002745CB"/>
    <w:rsid w:val="00277A15"/>
    <w:rsid w:val="00277AAE"/>
    <w:rsid w:val="00277DB9"/>
    <w:rsid w:val="00283B7E"/>
    <w:rsid w:val="002A053D"/>
    <w:rsid w:val="002A4AFD"/>
    <w:rsid w:val="002A6800"/>
    <w:rsid w:val="002A6AFF"/>
    <w:rsid w:val="002B3D70"/>
    <w:rsid w:val="002B6D4A"/>
    <w:rsid w:val="002B704E"/>
    <w:rsid w:val="002C3FED"/>
    <w:rsid w:val="002E14CC"/>
    <w:rsid w:val="002E5B91"/>
    <w:rsid w:val="00300022"/>
    <w:rsid w:val="00305760"/>
    <w:rsid w:val="003108B8"/>
    <w:rsid w:val="00310F39"/>
    <w:rsid w:val="003122FB"/>
    <w:rsid w:val="00314583"/>
    <w:rsid w:val="0031620B"/>
    <w:rsid w:val="00324755"/>
    <w:rsid w:val="003259C7"/>
    <w:rsid w:val="00335513"/>
    <w:rsid w:val="00340083"/>
    <w:rsid w:val="00341233"/>
    <w:rsid w:val="00343001"/>
    <w:rsid w:val="00345787"/>
    <w:rsid w:val="003476E8"/>
    <w:rsid w:val="00347EA0"/>
    <w:rsid w:val="0035297D"/>
    <w:rsid w:val="00353BC6"/>
    <w:rsid w:val="0036400E"/>
    <w:rsid w:val="003646CB"/>
    <w:rsid w:val="00365120"/>
    <w:rsid w:val="00370C6E"/>
    <w:rsid w:val="00376363"/>
    <w:rsid w:val="00383CD2"/>
    <w:rsid w:val="00387A19"/>
    <w:rsid w:val="003920FB"/>
    <w:rsid w:val="003938D9"/>
    <w:rsid w:val="003938F7"/>
    <w:rsid w:val="003964BC"/>
    <w:rsid w:val="003B6117"/>
    <w:rsid w:val="003C37D3"/>
    <w:rsid w:val="003C517F"/>
    <w:rsid w:val="003C7FCC"/>
    <w:rsid w:val="003D1400"/>
    <w:rsid w:val="003D267B"/>
    <w:rsid w:val="003D2D3A"/>
    <w:rsid w:val="003D46BA"/>
    <w:rsid w:val="003D629F"/>
    <w:rsid w:val="003E2431"/>
    <w:rsid w:val="003E493A"/>
    <w:rsid w:val="003E514D"/>
    <w:rsid w:val="003E5759"/>
    <w:rsid w:val="003E686F"/>
    <w:rsid w:val="003E75B0"/>
    <w:rsid w:val="003E7B75"/>
    <w:rsid w:val="003F1303"/>
    <w:rsid w:val="003F1BD0"/>
    <w:rsid w:val="003F2BF6"/>
    <w:rsid w:val="003F4D47"/>
    <w:rsid w:val="00401B99"/>
    <w:rsid w:val="00402C6C"/>
    <w:rsid w:val="004108AB"/>
    <w:rsid w:val="00410A16"/>
    <w:rsid w:val="00411908"/>
    <w:rsid w:val="004226D0"/>
    <w:rsid w:val="00424B2D"/>
    <w:rsid w:val="004309EF"/>
    <w:rsid w:val="0043375B"/>
    <w:rsid w:val="00436C7D"/>
    <w:rsid w:val="00440028"/>
    <w:rsid w:val="00440F9A"/>
    <w:rsid w:val="00447C77"/>
    <w:rsid w:val="00450999"/>
    <w:rsid w:val="00451330"/>
    <w:rsid w:val="00452B7D"/>
    <w:rsid w:val="004536B4"/>
    <w:rsid w:val="00460431"/>
    <w:rsid w:val="00466729"/>
    <w:rsid w:val="00466872"/>
    <w:rsid w:val="00467C36"/>
    <w:rsid w:val="00471123"/>
    <w:rsid w:val="0047211B"/>
    <w:rsid w:val="00492BE7"/>
    <w:rsid w:val="004A6162"/>
    <w:rsid w:val="004B0D72"/>
    <w:rsid w:val="004B2B17"/>
    <w:rsid w:val="004B6178"/>
    <w:rsid w:val="004C28BF"/>
    <w:rsid w:val="004D4964"/>
    <w:rsid w:val="004D521E"/>
    <w:rsid w:val="004D62B5"/>
    <w:rsid w:val="004E3154"/>
    <w:rsid w:val="004E413B"/>
    <w:rsid w:val="004E5FB7"/>
    <w:rsid w:val="004F2FAB"/>
    <w:rsid w:val="004F6B16"/>
    <w:rsid w:val="004F7636"/>
    <w:rsid w:val="00504E49"/>
    <w:rsid w:val="00514FCD"/>
    <w:rsid w:val="00515763"/>
    <w:rsid w:val="00524D7A"/>
    <w:rsid w:val="00526022"/>
    <w:rsid w:val="00531EA6"/>
    <w:rsid w:val="005326F6"/>
    <w:rsid w:val="005339B9"/>
    <w:rsid w:val="00540B6C"/>
    <w:rsid w:val="00546E4C"/>
    <w:rsid w:val="005548A7"/>
    <w:rsid w:val="00556850"/>
    <w:rsid w:val="0057063E"/>
    <w:rsid w:val="00577775"/>
    <w:rsid w:val="00580966"/>
    <w:rsid w:val="00592E7A"/>
    <w:rsid w:val="00593BED"/>
    <w:rsid w:val="00597ED5"/>
    <w:rsid w:val="005A3F8F"/>
    <w:rsid w:val="005A790A"/>
    <w:rsid w:val="005B1813"/>
    <w:rsid w:val="005B5DF8"/>
    <w:rsid w:val="005B6FE1"/>
    <w:rsid w:val="005C0CF4"/>
    <w:rsid w:val="005C1FE2"/>
    <w:rsid w:val="005C3C52"/>
    <w:rsid w:val="005D7A54"/>
    <w:rsid w:val="005E0BE3"/>
    <w:rsid w:val="00605053"/>
    <w:rsid w:val="00610C70"/>
    <w:rsid w:val="006143EF"/>
    <w:rsid w:val="00615B2D"/>
    <w:rsid w:val="00617B81"/>
    <w:rsid w:val="00630C56"/>
    <w:rsid w:val="00634963"/>
    <w:rsid w:val="0063689E"/>
    <w:rsid w:val="0064283B"/>
    <w:rsid w:val="00644249"/>
    <w:rsid w:val="00646319"/>
    <w:rsid w:val="00656F2D"/>
    <w:rsid w:val="00661070"/>
    <w:rsid w:val="00664BD3"/>
    <w:rsid w:val="006656B3"/>
    <w:rsid w:val="00677250"/>
    <w:rsid w:val="0067770C"/>
    <w:rsid w:val="00684840"/>
    <w:rsid w:val="00691BA6"/>
    <w:rsid w:val="006A2BF8"/>
    <w:rsid w:val="006A579D"/>
    <w:rsid w:val="006A6DF4"/>
    <w:rsid w:val="006B56DC"/>
    <w:rsid w:val="006B643C"/>
    <w:rsid w:val="006C7E1F"/>
    <w:rsid w:val="006D1B81"/>
    <w:rsid w:val="006D5DC9"/>
    <w:rsid w:val="006D6D47"/>
    <w:rsid w:val="006E2592"/>
    <w:rsid w:val="006E408C"/>
    <w:rsid w:val="006E75B4"/>
    <w:rsid w:val="006F4C9C"/>
    <w:rsid w:val="0070309A"/>
    <w:rsid w:val="00707D1E"/>
    <w:rsid w:val="00712587"/>
    <w:rsid w:val="00715F94"/>
    <w:rsid w:val="00732AAE"/>
    <w:rsid w:val="00744FF7"/>
    <w:rsid w:val="00751F35"/>
    <w:rsid w:val="00762717"/>
    <w:rsid w:val="00763801"/>
    <w:rsid w:val="0076423E"/>
    <w:rsid w:val="0076655C"/>
    <w:rsid w:val="00773D24"/>
    <w:rsid w:val="00774123"/>
    <w:rsid w:val="00776546"/>
    <w:rsid w:val="007A65F8"/>
    <w:rsid w:val="007B6377"/>
    <w:rsid w:val="007D3293"/>
    <w:rsid w:val="007D3A5C"/>
    <w:rsid w:val="007F1D13"/>
    <w:rsid w:val="007F7AFA"/>
    <w:rsid w:val="00800291"/>
    <w:rsid w:val="00803349"/>
    <w:rsid w:val="00805B7E"/>
    <w:rsid w:val="00806980"/>
    <w:rsid w:val="00806CAD"/>
    <w:rsid w:val="00812F08"/>
    <w:rsid w:val="008200F3"/>
    <w:rsid w:val="00830B30"/>
    <w:rsid w:val="008378C6"/>
    <w:rsid w:val="00844707"/>
    <w:rsid w:val="00851711"/>
    <w:rsid w:val="008577A9"/>
    <w:rsid w:val="00862C37"/>
    <w:rsid w:val="00867D9B"/>
    <w:rsid w:val="00871CFE"/>
    <w:rsid w:val="00882272"/>
    <w:rsid w:val="0088399C"/>
    <w:rsid w:val="00893384"/>
    <w:rsid w:val="008A4BFC"/>
    <w:rsid w:val="008B165A"/>
    <w:rsid w:val="008B6BB6"/>
    <w:rsid w:val="008C0C95"/>
    <w:rsid w:val="008C22C1"/>
    <w:rsid w:val="008D7923"/>
    <w:rsid w:val="008E5158"/>
    <w:rsid w:val="008F2D0F"/>
    <w:rsid w:val="008F4DD3"/>
    <w:rsid w:val="00900C78"/>
    <w:rsid w:val="00907FDE"/>
    <w:rsid w:val="00934815"/>
    <w:rsid w:val="00936638"/>
    <w:rsid w:val="009379CC"/>
    <w:rsid w:val="009460E8"/>
    <w:rsid w:val="009521DF"/>
    <w:rsid w:val="00952E2C"/>
    <w:rsid w:val="00962162"/>
    <w:rsid w:val="0096382D"/>
    <w:rsid w:val="0096382E"/>
    <w:rsid w:val="0096653E"/>
    <w:rsid w:val="009708E2"/>
    <w:rsid w:val="00973146"/>
    <w:rsid w:val="009733F7"/>
    <w:rsid w:val="00976BFF"/>
    <w:rsid w:val="009828B9"/>
    <w:rsid w:val="00984035"/>
    <w:rsid w:val="0099092B"/>
    <w:rsid w:val="00993C55"/>
    <w:rsid w:val="00996F5F"/>
    <w:rsid w:val="009975CB"/>
    <w:rsid w:val="009A5014"/>
    <w:rsid w:val="009A6931"/>
    <w:rsid w:val="009B179C"/>
    <w:rsid w:val="009B61E7"/>
    <w:rsid w:val="009B7538"/>
    <w:rsid w:val="009C09DD"/>
    <w:rsid w:val="009C16C4"/>
    <w:rsid w:val="009C3269"/>
    <w:rsid w:val="009C7CFC"/>
    <w:rsid w:val="009D00F9"/>
    <w:rsid w:val="009D6832"/>
    <w:rsid w:val="009E0029"/>
    <w:rsid w:val="009E0F87"/>
    <w:rsid w:val="009F1459"/>
    <w:rsid w:val="009F5794"/>
    <w:rsid w:val="009F6121"/>
    <w:rsid w:val="009F70A7"/>
    <w:rsid w:val="00A00652"/>
    <w:rsid w:val="00A0193B"/>
    <w:rsid w:val="00A046DD"/>
    <w:rsid w:val="00A11C87"/>
    <w:rsid w:val="00A151FE"/>
    <w:rsid w:val="00A20805"/>
    <w:rsid w:val="00A249AD"/>
    <w:rsid w:val="00A26140"/>
    <w:rsid w:val="00A40A10"/>
    <w:rsid w:val="00A417BF"/>
    <w:rsid w:val="00A47962"/>
    <w:rsid w:val="00A50D3F"/>
    <w:rsid w:val="00A517EE"/>
    <w:rsid w:val="00A54397"/>
    <w:rsid w:val="00A65B21"/>
    <w:rsid w:val="00A74F55"/>
    <w:rsid w:val="00A869E1"/>
    <w:rsid w:val="00A9116D"/>
    <w:rsid w:val="00AA083A"/>
    <w:rsid w:val="00AA096C"/>
    <w:rsid w:val="00AA3C86"/>
    <w:rsid w:val="00AA5598"/>
    <w:rsid w:val="00AA662A"/>
    <w:rsid w:val="00AA7653"/>
    <w:rsid w:val="00AB50A5"/>
    <w:rsid w:val="00AC1AEB"/>
    <w:rsid w:val="00AD3AF6"/>
    <w:rsid w:val="00AD470E"/>
    <w:rsid w:val="00AD6B42"/>
    <w:rsid w:val="00AE2754"/>
    <w:rsid w:val="00AF0D56"/>
    <w:rsid w:val="00AF4B04"/>
    <w:rsid w:val="00AF54A8"/>
    <w:rsid w:val="00AF6536"/>
    <w:rsid w:val="00B00501"/>
    <w:rsid w:val="00B11A34"/>
    <w:rsid w:val="00B148F7"/>
    <w:rsid w:val="00B14F3F"/>
    <w:rsid w:val="00B20583"/>
    <w:rsid w:val="00B257C7"/>
    <w:rsid w:val="00B324E0"/>
    <w:rsid w:val="00B3573F"/>
    <w:rsid w:val="00B35D1A"/>
    <w:rsid w:val="00B4272A"/>
    <w:rsid w:val="00B427EB"/>
    <w:rsid w:val="00B47757"/>
    <w:rsid w:val="00B52096"/>
    <w:rsid w:val="00B57D37"/>
    <w:rsid w:val="00B610A6"/>
    <w:rsid w:val="00B6176A"/>
    <w:rsid w:val="00B653BE"/>
    <w:rsid w:val="00B65E88"/>
    <w:rsid w:val="00B70DD5"/>
    <w:rsid w:val="00B71506"/>
    <w:rsid w:val="00B729A0"/>
    <w:rsid w:val="00B72EE1"/>
    <w:rsid w:val="00B767C3"/>
    <w:rsid w:val="00B77106"/>
    <w:rsid w:val="00B7719B"/>
    <w:rsid w:val="00B8370B"/>
    <w:rsid w:val="00B84A08"/>
    <w:rsid w:val="00B9750B"/>
    <w:rsid w:val="00BA3823"/>
    <w:rsid w:val="00BA593B"/>
    <w:rsid w:val="00BA609F"/>
    <w:rsid w:val="00BA7888"/>
    <w:rsid w:val="00BB67F5"/>
    <w:rsid w:val="00BC128B"/>
    <w:rsid w:val="00BD3D59"/>
    <w:rsid w:val="00BD4670"/>
    <w:rsid w:val="00BD46E1"/>
    <w:rsid w:val="00BD4F7C"/>
    <w:rsid w:val="00BD5E35"/>
    <w:rsid w:val="00BE281B"/>
    <w:rsid w:val="00BE339C"/>
    <w:rsid w:val="00BF1410"/>
    <w:rsid w:val="00BF3827"/>
    <w:rsid w:val="00BF5F39"/>
    <w:rsid w:val="00C03746"/>
    <w:rsid w:val="00C037C3"/>
    <w:rsid w:val="00C058B2"/>
    <w:rsid w:val="00C10DEC"/>
    <w:rsid w:val="00C125EF"/>
    <w:rsid w:val="00C2298F"/>
    <w:rsid w:val="00C33BC1"/>
    <w:rsid w:val="00C37A66"/>
    <w:rsid w:val="00C40589"/>
    <w:rsid w:val="00C445A9"/>
    <w:rsid w:val="00C45E4F"/>
    <w:rsid w:val="00C66C84"/>
    <w:rsid w:val="00C76271"/>
    <w:rsid w:val="00C830B1"/>
    <w:rsid w:val="00C8321F"/>
    <w:rsid w:val="00C85766"/>
    <w:rsid w:val="00C9465A"/>
    <w:rsid w:val="00CA02C6"/>
    <w:rsid w:val="00CA16F8"/>
    <w:rsid w:val="00CA62F8"/>
    <w:rsid w:val="00CA7E29"/>
    <w:rsid w:val="00CB1EE7"/>
    <w:rsid w:val="00CC2E87"/>
    <w:rsid w:val="00CC5106"/>
    <w:rsid w:val="00CD6F82"/>
    <w:rsid w:val="00CE2FC7"/>
    <w:rsid w:val="00CE336C"/>
    <w:rsid w:val="00CE68A9"/>
    <w:rsid w:val="00D01364"/>
    <w:rsid w:val="00D01C3D"/>
    <w:rsid w:val="00D03034"/>
    <w:rsid w:val="00D15281"/>
    <w:rsid w:val="00D24432"/>
    <w:rsid w:val="00D35FCE"/>
    <w:rsid w:val="00D3685D"/>
    <w:rsid w:val="00D43294"/>
    <w:rsid w:val="00D602B3"/>
    <w:rsid w:val="00D62EE9"/>
    <w:rsid w:val="00D678F5"/>
    <w:rsid w:val="00D80B52"/>
    <w:rsid w:val="00D826BA"/>
    <w:rsid w:val="00D9348A"/>
    <w:rsid w:val="00D9780A"/>
    <w:rsid w:val="00DA1177"/>
    <w:rsid w:val="00DB1E9C"/>
    <w:rsid w:val="00DB29AC"/>
    <w:rsid w:val="00DB50C7"/>
    <w:rsid w:val="00DB533A"/>
    <w:rsid w:val="00DB5D1C"/>
    <w:rsid w:val="00DC7AB6"/>
    <w:rsid w:val="00DD74AA"/>
    <w:rsid w:val="00DE0994"/>
    <w:rsid w:val="00DE0F17"/>
    <w:rsid w:val="00DE41B0"/>
    <w:rsid w:val="00DF1D0C"/>
    <w:rsid w:val="00DF2150"/>
    <w:rsid w:val="00DF22B7"/>
    <w:rsid w:val="00E07977"/>
    <w:rsid w:val="00E1000F"/>
    <w:rsid w:val="00E12105"/>
    <w:rsid w:val="00E12F8B"/>
    <w:rsid w:val="00E24B15"/>
    <w:rsid w:val="00E24F3F"/>
    <w:rsid w:val="00E25F4C"/>
    <w:rsid w:val="00E27901"/>
    <w:rsid w:val="00E31423"/>
    <w:rsid w:val="00E3439D"/>
    <w:rsid w:val="00E346D4"/>
    <w:rsid w:val="00E47E6C"/>
    <w:rsid w:val="00E51436"/>
    <w:rsid w:val="00E6474E"/>
    <w:rsid w:val="00E67706"/>
    <w:rsid w:val="00E723DA"/>
    <w:rsid w:val="00E775A6"/>
    <w:rsid w:val="00E77CC7"/>
    <w:rsid w:val="00E82F45"/>
    <w:rsid w:val="00E862FD"/>
    <w:rsid w:val="00E922CF"/>
    <w:rsid w:val="00EA03FA"/>
    <w:rsid w:val="00EA096B"/>
    <w:rsid w:val="00EA6FEA"/>
    <w:rsid w:val="00EB1439"/>
    <w:rsid w:val="00EB7F1E"/>
    <w:rsid w:val="00EC1DB0"/>
    <w:rsid w:val="00EC463C"/>
    <w:rsid w:val="00EE7BBD"/>
    <w:rsid w:val="00EF4B1C"/>
    <w:rsid w:val="00F064A6"/>
    <w:rsid w:val="00F07325"/>
    <w:rsid w:val="00F15475"/>
    <w:rsid w:val="00F25F70"/>
    <w:rsid w:val="00F2704C"/>
    <w:rsid w:val="00F44707"/>
    <w:rsid w:val="00F450A0"/>
    <w:rsid w:val="00F52630"/>
    <w:rsid w:val="00F71A49"/>
    <w:rsid w:val="00F740A8"/>
    <w:rsid w:val="00F802DC"/>
    <w:rsid w:val="00F84FC1"/>
    <w:rsid w:val="00FC0485"/>
    <w:rsid w:val="00FC0E0C"/>
    <w:rsid w:val="00FC169E"/>
    <w:rsid w:val="00FC2CFF"/>
    <w:rsid w:val="00FC6D8E"/>
    <w:rsid w:val="00FC7EE1"/>
    <w:rsid w:val="00FD0130"/>
    <w:rsid w:val="00FD11CB"/>
    <w:rsid w:val="00FD1D8C"/>
    <w:rsid w:val="00FD72EE"/>
    <w:rsid w:val="00FE4B40"/>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9C6AA4C"/>
  <w15:chartTrackingRefBased/>
  <w15:docId w15:val="{347DD3F7-3EAD-4E0A-999A-864AC34D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9D"/>
    <w:rPr>
      <w:rFonts w:ascii="Gotham-Book" w:hAnsi="Gotham-Book"/>
      <w:sz w:val="24"/>
      <w:lang w:eastAsia="en-US"/>
    </w:rPr>
  </w:style>
  <w:style w:type="paragraph" w:styleId="Heading1">
    <w:name w:val="heading 1"/>
    <w:basedOn w:val="Normal"/>
    <w:next w:val="Normal"/>
    <w:qFormat/>
    <w:rsid w:val="000C16EC"/>
    <w:pPr>
      <w:spacing w:after="240"/>
      <w:ind w:left="-567"/>
      <w:outlineLvl w:val="0"/>
    </w:pPr>
    <w:rPr>
      <w:b/>
      <w:color w:val="008080"/>
      <w:sz w:val="32"/>
    </w:rPr>
  </w:style>
  <w:style w:type="paragraph" w:styleId="Heading2">
    <w:name w:val="heading 2"/>
    <w:basedOn w:val="Normal"/>
    <w:next w:val="Normal"/>
    <w:qFormat/>
    <w:rsid w:val="0035297D"/>
    <w:pPr>
      <w:spacing w:after="120"/>
      <w:ind w:left="-567"/>
      <w:outlineLvl w:val="1"/>
    </w:pPr>
    <w:rPr>
      <w:rFonts w:ascii="Gotham-Bold" w:hAnsi="Gotham-Bold"/>
    </w:rPr>
  </w:style>
  <w:style w:type="paragraph" w:styleId="Heading3">
    <w:name w:val="heading 3"/>
    <w:basedOn w:val="Normal"/>
    <w:next w:val="Normal"/>
    <w:qFormat/>
    <w:rsid w:val="00FD0067"/>
    <w:pPr>
      <w:ind w:left="-567"/>
      <w:outlineLvl w:val="2"/>
    </w:pPr>
    <w:rPr>
      <w:rFonts w:ascii="Gotham-BookItalic" w:hAnsi="Gotham-Book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erItalics">
    <w:name w:val="Item header Italics"/>
    <w:basedOn w:val="Itembody"/>
    <w:rsid w:val="00FD0067"/>
    <w:rPr>
      <w:rFonts w:ascii="Gotham-BookItalic" w:hAnsi="Gotham-BookItalic"/>
      <w:color w:val="008080"/>
    </w:rPr>
  </w:style>
  <w:style w:type="paragraph" w:styleId="Header">
    <w:name w:val="header"/>
    <w:basedOn w:val="Normal"/>
    <w:link w:val="HeaderChar"/>
    <w:uiPriority w:val="99"/>
    <w:unhideWhenUsed/>
    <w:rsid w:val="00D602B3"/>
    <w:pPr>
      <w:tabs>
        <w:tab w:val="center" w:pos="4513"/>
        <w:tab w:val="right" w:pos="9026"/>
      </w:tabs>
    </w:pPr>
  </w:style>
  <w:style w:type="paragraph" w:styleId="Footer">
    <w:name w:val="footer"/>
    <w:basedOn w:val="Normal"/>
    <w:link w:val="FooterChar"/>
    <w:uiPriority w:val="99"/>
    <w:rsid w:val="00B63004"/>
    <w:pPr>
      <w:tabs>
        <w:tab w:val="center" w:pos="4320"/>
        <w:tab w:val="right" w:pos="8640"/>
      </w:tabs>
    </w:pPr>
  </w:style>
  <w:style w:type="table" w:styleId="TableGrid">
    <w:name w:val="Table Grid"/>
    <w:basedOn w:val="TableNormal"/>
    <w:rsid w:val="00B6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header1">
    <w:name w:val="Item header 1"/>
    <w:rsid w:val="00FD0067"/>
    <w:rPr>
      <w:color w:val="008080"/>
      <w:sz w:val="32"/>
    </w:rPr>
  </w:style>
  <w:style w:type="character" w:customStyle="1" w:styleId="Itemreference">
    <w:name w:val="Item reference"/>
    <w:rsid w:val="00FD0067"/>
    <w:rPr>
      <w:color w:val="008080"/>
    </w:rPr>
  </w:style>
  <w:style w:type="paragraph" w:customStyle="1" w:styleId="Itembody">
    <w:name w:val="Item body"/>
    <w:basedOn w:val="Normal"/>
    <w:rsid w:val="00FD0067"/>
    <w:pPr>
      <w:spacing w:line="360" w:lineRule="auto"/>
      <w:ind w:left="-567"/>
    </w:pPr>
  </w:style>
  <w:style w:type="character" w:customStyle="1" w:styleId="HeaderChar">
    <w:name w:val="Header Char"/>
    <w:link w:val="Header"/>
    <w:uiPriority w:val="99"/>
    <w:rsid w:val="00D602B3"/>
    <w:rPr>
      <w:rFonts w:ascii="Gotham-Book" w:hAnsi="Gotham-Book"/>
      <w:sz w:val="24"/>
      <w:lang w:eastAsia="en-US"/>
    </w:rPr>
  </w:style>
  <w:style w:type="paragraph" w:customStyle="1" w:styleId="Itemtable">
    <w:name w:val="Item table"/>
    <w:basedOn w:val="Normal"/>
    <w:rsid w:val="00FD0067"/>
    <w:pPr>
      <w:spacing w:before="20"/>
    </w:pPr>
  </w:style>
  <w:style w:type="paragraph" w:customStyle="1" w:styleId="ItemheaderAgreed">
    <w:name w:val="Item header Agreed:"/>
    <w:basedOn w:val="Itembody"/>
    <w:rsid w:val="00FD0067"/>
    <w:rPr>
      <w:rFonts w:ascii="Gotham-Bold" w:hAnsi="Gotham-Bold"/>
      <w:color w:val="008080"/>
    </w:rPr>
  </w:style>
  <w:style w:type="character" w:customStyle="1" w:styleId="FooterChar">
    <w:name w:val="Footer Char"/>
    <w:link w:val="Footer"/>
    <w:uiPriority w:val="99"/>
    <w:rsid w:val="00D602B3"/>
    <w:rPr>
      <w:rFonts w:ascii="Gotham-Book" w:hAnsi="Gotham-Book"/>
      <w:sz w:val="24"/>
      <w:lang w:eastAsia="en-US"/>
    </w:rPr>
  </w:style>
  <w:style w:type="character" w:styleId="Hyperlink">
    <w:name w:val="Hyperlink"/>
    <w:uiPriority w:val="99"/>
    <w:unhideWhenUsed/>
    <w:rsid w:val="00707D1E"/>
    <w:rPr>
      <w:color w:val="0000FF"/>
      <w:u w:val="single"/>
    </w:rPr>
  </w:style>
  <w:style w:type="paragraph" w:styleId="TOCHeading">
    <w:name w:val="TOC Heading"/>
    <w:basedOn w:val="Heading1"/>
    <w:next w:val="Normal"/>
    <w:uiPriority w:val="39"/>
    <w:qFormat/>
    <w:rsid w:val="00D43294"/>
    <w:pPr>
      <w:keepNext/>
      <w:keepLines/>
      <w:spacing w:before="480" w:line="276" w:lineRule="auto"/>
      <w:ind w:left="0"/>
      <w:outlineLvl w:val="9"/>
    </w:pPr>
    <w:rPr>
      <w:rFonts w:ascii="Cambria" w:hAnsi="Cambria"/>
      <w:b w:val="0"/>
      <w:bCs/>
      <w:color w:val="365F91"/>
      <w:sz w:val="28"/>
      <w:szCs w:val="28"/>
      <w:lang w:val="en-US"/>
    </w:rPr>
  </w:style>
  <w:style w:type="paragraph" w:styleId="TOC1">
    <w:name w:val="toc 1"/>
    <w:basedOn w:val="Normal"/>
    <w:next w:val="Normal"/>
    <w:autoRedefine/>
    <w:uiPriority w:val="39"/>
    <w:unhideWhenUsed/>
    <w:rsid w:val="00F25F70"/>
    <w:pPr>
      <w:tabs>
        <w:tab w:val="right" w:leader="dot" w:pos="8487"/>
      </w:tabs>
    </w:pPr>
    <w:rPr>
      <w:rFonts w:ascii="Arial" w:hAnsi="Arial" w:cs="Arial"/>
      <w:b/>
      <w:noProof/>
      <w:color w:val="008080"/>
    </w:rPr>
  </w:style>
  <w:style w:type="paragraph" w:styleId="TOC2">
    <w:name w:val="toc 2"/>
    <w:basedOn w:val="Normal"/>
    <w:next w:val="Normal"/>
    <w:autoRedefine/>
    <w:uiPriority w:val="39"/>
    <w:unhideWhenUsed/>
    <w:rsid w:val="00D43294"/>
    <w:pPr>
      <w:ind w:left="240"/>
    </w:pPr>
  </w:style>
  <w:style w:type="paragraph" w:customStyle="1" w:styleId="BodyText1">
    <w:name w:val="Body Text1"/>
    <w:basedOn w:val="Itembody"/>
    <w:qFormat/>
    <w:rsid w:val="0035297D"/>
    <w:pPr>
      <w:spacing w:after="60"/>
    </w:pPr>
  </w:style>
  <w:style w:type="character" w:styleId="CommentReference">
    <w:name w:val="annotation reference"/>
    <w:uiPriority w:val="99"/>
    <w:semiHidden/>
    <w:unhideWhenUsed/>
    <w:rsid w:val="003964BC"/>
    <w:rPr>
      <w:sz w:val="16"/>
      <w:szCs w:val="16"/>
    </w:rPr>
  </w:style>
  <w:style w:type="paragraph" w:styleId="CommentText">
    <w:name w:val="annotation text"/>
    <w:basedOn w:val="Normal"/>
    <w:link w:val="CommentTextChar"/>
    <w:uiPriority w:val="99"/>
    <w:semiHidden/>
    <w:unhideWhenUsed/>
    <w:rsid w:val="003964BC"/>
    <w:rPr>
      <w:sz w:val="20"/>
    </w:rPr>
  </w:style>
  <w:style w:type="character" w:customStyle="1" w:styleId="CommentTextChar">
    <w:name w:val="Comment Text Char"/>
    <w:link w:val="CommentText"/>
    <w:uiPriority w:val="99"/>
    <w:semiHidden/>
    <w:rsid w:val="003964BC"/>
    <w:rPr>
      <w:rFonts w:ascii="Gotham-Book" w:hAnsi="Gotham-Book"/>
      <w:lang w:eastAsia="en-US"/>
    </w:rPr>
  </w:style>
  <w:style w:type="paragraph" w:styleId="CommentSubject">
    <w:name w:val="annotation subject"/>
    <w:basedOn w:val="CommentText"/>
    <w:next w:val="CommentText"/>
    <w:link w:val="CommentSubjectChar"/>
    <w:uiPriority w:val="99"/>
    <w:semiHidden/>
    <w:unhideWhenUsed/>
    <w:rsid w:val="003964BC"/>
    <w:rPr>
      <w:b/>
      <w:bCs/>
    </w:rPr>
  </w:style>
  <w:style w:type="character" w:customStyle="1" w:styleId="CommentSubjectChar">
    <w:name w:val="Comment Subject Char"/>
    <w:link w:val="CommentSubject"/>
    <w:uiPriority w:val="99"/>
    <w:semiHidden/>
    <w:rsid w:val="003964BC"/>
    <w:rPr>
      <w:rFonts w:ascii="Gotham-Book" w:hAnsi="Gotham-Book"/>
      <w:b/>
      <w:bCs/>
      <w:lang w:eastAsia="en-US"/>
    </w:rPr>
  </w:style>
  <w:style w:type="paragraph" w:styleId="BalloonText">
    <w:name w:val="Balloon Text"/>
    <w:basedOn w:val="Normal"/>
    <w:link w:val="BalloonTextChar"/>
    <w:uiPriority w:val="99"/>
    <w:semiHidden/>
    <w:unhideWhenUsed/>
    <w:rsid w:val="003964BC"/>
    <w:rPr>
      <w:rFonts w:ascii="Tahoma" w:hAnsi="Tahoma" w:cs="Tahoma"/>
      <w:sz w:val="16"/>
      <w:szCs w:val="16"/>
    </w:rPr>
  </w:style>
  <w:style w:type="character" w:customStyle="1" w:styleId="BalloonTextChar">
    <w:name w:val="Balloon Text Char"/>
    <w:link w:val="BalloonText"/>
    <w:uiPriority w:val="99"/>
    <w:semiHidden/>
    <w:rsid w:val="003964BC"/>
    <w:rPr>
      <w:rFonts w:ascii="Tahoma" w:hAnsi="Tahoma" w:cs="Tahoma"/>
      <w:sz w:val="16"/>
      <w:szCs w:val="16"/>
      <w:lang w:eastAsia="en-US"/>
    </w:rPr>
  </w:style>
  <w:style w:type="character" w:styleId="FootnoteReference">
    <w:name w:val="footnote reference"/>
    <w:uiPriority w:val="99"/>
    <w:semiHidden/>
    <w:rsid w:val="00466872"/>
    <w:rPr>
      <w:vertAlign w:val="superscript"/>
    </w:rPr>
  </w:style>
  <w:style w:type="paragraph" w:styleId="FootnoteText">
    <w:name w:val="footnote text"/>
    <w:basedOn w:val="Normal"/>
    <w:link w:val="FootnoteTextChar"/>
    <w:uiPriority w:val="99"/>
    <w:semiHidden/>
    <w:rsid w:val="00466872"/>
    <w:rPr>
      <w:rFonts w:ascii="Arial" w:hAnsi="Arial" w:cs="Arial"/>
      <w:sz w:val="20"/>
    </w:rPr>
  </w:style>
  <w:style w:type="paragraph" w:customStyle="1" w:styleId="CharCharCharCharCharCharCharCharCharChar">
    <w:name w:val="Char Char Char Char Char Char Char Char Char Char"/>
    <w:basedOn w:val="Normal"/>
    <w:rsid w:val="00466872"/>
    <w:pPr>
      <w:spacing w:after="120" w:line="240" w:lineRule="exact"/>
    </w:pPr>
    <w:rPr>
      <w:rFonts w:ascii="Verdana" w:hAnsi="Verdana"/>
      <w:sz w:val="20"/>
    </w:rPr>
  </w:style>
  <w:style w:type="character" w:styleId="Strong">
    <w:name w:val="Strong"/>
    <w:uiPriority w:val="22"/>
    <w:qFormat/>
    <w:rsid w:val="00B47757"/>
    <w:rPr>
      <w:b/>
      <w:bCs/>
    </w:rPr>
  </w:style>
  <w:style w:type="paragraph" w:customStyle="1" w:styleId="WMSearchReportSubTitle">
    <w:name w:val="WM Search Report Sub Title"/>
    <w:basedOn w:val="Normal"/>
    <w:rsid w:val="00712587"/>
    <w:pPr>
      <w:jc w:val="right"/>
    </w:pPr>
    <w:rPr>
      <w:rFonts w:ascii="Arial" w:hAnsi="Arial" w:cs="Arial"/>
      <w:color w:val="999999"/>
      <w:sz w:val="32"/>
      <w:szCs w:val="32"/>
      <w:lang w:eastAsia="en-GB"/>
    </w:rPr>
  </w:style>
  <w:style w:type="numbering" w:customStyle="1" w:styleId="BTPAMeetingPapernumbering">
    <w:name w:val="BTPA Meeting Paper numbering"/>
    <w:basedOn w:val="NoList"/>
    <w:rsid w:val="00C2298F"/>
    <w:pPr>
      <w:numPr>
        <w:numId w:val="4"/>
      </w:numPr>
    </w:pPr>
  </w:style>
  <w:style w:type="character" w:styleId="FollowedHyperlink">
    <w:name w:val="FollowedHyperlink"/>
    <w:rsid w:val="001255FF"/>
    <w:rPr>
      <w:color w:val="800080"/>
      <w:u w:val="single"/>
    </w:rPr>
  </w:style>
  <w:style w:type="character" w:customStyle="1" w:styleId="CharChar1">
    <w:name w:val="Char Char1"/>
    <w:locked/>
    <w:rsid w:val="00467C36"/>
    <w:rPr>
      <w:rFonts w:ascii="Gotham-Book" w:hAnsi="Gotham-Book" w:cs="Gotham-Book"/>
      <w:sz w:val="24"/>
      <w:lang w:val="en-GB" w:eastAsia="en-US" w:bidi="ar-SA"/>
    </w:rPr>
  </w:style>
  <w:style w:type="paragraph" w:styleId="BodyText">
    <w:name w:val="Body Text"/>
    <w:basedOn w:val="Normal"/>
    <w:rsid w:val="00B7719B"/>
    <w:rPr>
      <w:rFonts w:ascii="Times New Roman" w:hAnsi="Times New Roman"/>
    </w:rPr>
  </w:style>
  <w:style w:type="paragraph" w:customStyle="1" w:styleId="NormalGothamBook">
    <w:name w:val="Normal + Gotham Book"/>
    <w:aliases w:val="11 pt,Italic"/>
    <w:basedOn w:val="Normal"/>
    <w:link w:val="NormalGothamBookChar"/>
    <w:rsid w:val="00B7719B"/>
    <w:pPr>
      <w:tabs>
        <w:tab w:val="num" w:pos="360"/>
      </w:tabs>
      <w:ind w:left="360" w:hanging="360"/>
    </w:pPr>
    <w:rPr>
      <w:i/>
    </w:rPr>
  </w:style>
  <w:style w:type="character" w:customStyle="1" w:styleId="NormalGothamBookChar">
    <w:name w:val="Normal + Gotham Book Char"/>
    <w:aliases w:val="11 pt Char,Italic Char"/>
    <w:link w:val="NormalGothamBook"/>
    <w:rsid w:val="00B7719B"/>
    <w:rPr>
      <w:rFonts w:ascii="Gotham-Book" w:hAnsi="Gotham-Book"/>
      <w:i/>
      <w:sz w:val="24"/>
      <w:lang w:val="en-GB" w:eastAsia="en-US" w:bidi="ar-SA"/>
    </w:rPr>
  </w:style>
  <w:style w:type="paragraph" w:styleId="ListParagraph">
    <w:name w:val="List Paragraph"/>
    <w:basedOn w:val="Normal"/>
    <w:uiPriority w:val="1"/>
    <w:qFormat/>
    <w:rsid w:val="0027247E"/>
    <w:pPr>
      <w:ind w:left="720"/>
    </w:pPr>
  </w:style>
  <w:style w:type="character" w:customStyle="1" w:styleId="Bold">
    <w:name w:val="Bold"/>
    <w:rsid w:val="00D678F5"/>
    <w:rPr>
      <w:rFonts w:ascii="Gotham Bold" w:hAnsi="Gotham Bold"/>
    </w:rPr>
  </w:style>
  <w:style w:type="paragraph" w:styleId="NormalWeb">
    <w:name w:val="Normal (Web)"/>
    <w:basedOn w:val="Normal"/>
    <w:uiPriority w:val="99"/>
    <w:unhideWhenUsed/>
    <w:rsid w:val="004536B4"/>
    <w:rPr>
      <w:rFonts w:ascii="Times New Roman" w:hAnsi="Times New Roman"/>
      <w:szCs w:val="24"/>
      <w:lang w:eastAsia="en-GB"/>
    </w:rPr>
  </w:style>
  <w:style w:type="paragraph" w:customStyle="1" w:styleId="bar">
    <w:name w:val="bar"/>
    <w:basedOn w:val="Normal"/>
    <w:rsid w:val="004536B4"/>
    <w:pPr>
      <w:spacing w:before="300" w:after="300"/>
    </w:pPr>
    <w:rPr>
      <w:rFonts w:ascii="Times New Roman" w:hAnsi="Times New Roman"/>
      <w:b/>
      <w:bCs/>
      <w:color w:val="FFFFFF"/>
      <w:szCs w:val="24"/>
      <w:lang w:eastAsia="en-GB"/>
    </w:rPr>
  </w:style>
  <w:style w:type="character" w:customStyle="1" w:styleId="apple-converted-space">
    <w:name w:val="apple-converted-space"/>
    <w:rsid w:val="00AA083A"/>
  </w:style>
  <w:style w:type="character" w:styleId="Emphasis">
    <w:name w:val="Emphasis"/>
    <w:uiPriority w:val="20"/>
    <w:qFormat/>
    <w:rsid w:val="00AA083A"/>
    <w:rPr>
      <w:i/>
      <w:iCs/>
    </w:rPr>
  </w:style>
  <w:style w:type="paragraph" w:customStyle="1" w:styleId="TNR12">
    <w:name w:val="TNR 12"/>
    <w:basedOn w:val="Normal"/>
    <w:link w:val="TNR12Char"/>
    <w:rsid w:val="00DB5D1C"/>
    <w:rPr>
      <w:rFonts w:ascii="Times New Roman" w:hAnsi="Times New Roman" w:cs="Arial"/>
      <w:szCs w:val="24"/>
      <w:lang w:val="en-US"/>
    </w:rPr>
  </w:style>
  <w:style w:type="character" w:customStyle="1" w:styleId="TNR12Char">
    <w:name w:val="TNR 12 Char"/>
    <w:link w:val="TNR12"/>
    <w:rsid w:val="00DB5D1C"/>
    <w:rPr>
      <w:rFonts w:cs="Arial"/>
      <w:sz w:val="24"/>
      <w:szCs w:val="24"/>
      <w:lang w:val="en-US" w:eastAsia="en-US"/>
    </w:rPr>
  </w:style>
  <w:style w:type="paragraph" w:customStyle="1" w:styleId="Default">
    <w:name w:val="Default"/>
    <w:rsid w:val="00F52630"/>
    <w:pPr>
      <w:autoSpaceDE w:val="0"/>
      <w:autoSpaceDN w:val="0"/>
      <w:adjustRightInd w:val="0"/>
    </w:pPr>
    <w:rPr>
      <w:rFonts w:ascii="Gotham Book" w:eastAsia="Calibri" w:hAnsi="Gotham Book" w:cs="Gotham Book"/>
      <w:color w:val="000000"/>
      <w:sz w:val="24"/>
      <w:szCs w:val="24"/>
      <w:lang w:eastAsia="en-US"/>
    </w:rPr>
  </w:style>
  <w:style w:type="character" w:customStyle="1" w:styleId="FootnoteTextChar">
    <w:name w:val="Footnote Text Char"/>
    <w:link w:val="FootnoteText"/>
    <w:uiPriority w:val="99"/>
    <w:semiHidden/>
    <w:rsid w:val="00DE0F17"/>
    <w:rPr>
      <w:rFonts w:ascii="Arial" w:hAnsi="Arial" w:cs="Arial"/>
      <w:lang w:eastAsia="en-US"/>
    </w:rPr>
  </w:style>
  <w:style w:type="paragraph" w:styleId="NoSpacing">
    <w:name w:val="No Spacing"/>
    <w:uiPriority w:val="1"/>
    <w:qFormat/>
    <w:rsid w:val="00DE0F17"/>
    <w:rPr>
      <w:rFonts w:ascii="Arial" w:hAnsi="Arial"/>
      <w:szCs w:val="24"/>
      <w:lang w:eastAsia="en-US"/>
    </w:rPr>
  </w:style>
  <w:style w:type="character" w:styleId="UnresolvedMention">
    <w:name w:val="Unresolved Mention"/>
    <w:uiPriority w:val="99"/>
    <w:semiHidden/>
    <w:unhideWhenUsed/>
    <w:rsid w:val="00AF6536"/>
    <w:rPr>
      <w:color w:val="605E5C"/>
      <w:shd w:val="clear" w:color="auto" w:fill="E1DFDD"/>
    </w:rPr>
  </w:style>
  <w:style w:type="paragraph" w:styleId="Revision">
    <w:name w:val="Revision"/>
    <w:hidden/>
    <w:uiPriority w:val="99"/>
    <w:semiHidden/>
    <w:rsid w:val="00447C77"/>
    <w:rPr>
      <w:rFonts w:ascii="Gotham-Book" w:hAnsi="Gotham-Boo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6820">
      <w:bodyDiv w:val="1"/>
      <w:marLeft w:val="0"/>
      <w:marRight w:val="0"/>
      <w:marTop w:val="0"/>
      <w:marBottom w:val="0"/>
      <w:divBdr>
        <w:top w:val="none" w:sz="0" w:space="0" w:color="auto"/>
        <w:left w:val="none" w:sz="0" w:space="0" w:color="auto"/>
        <w:bottom w:val="none" w:sz="0" w:space="0" w:color="auto"/>
        <w:right w:val="none" w:sz="0" w:space="0" w:color="auto"/>
      </w:divBdr>
    </w:div>
    <w:div w:id="218327097">
      <w:bodyDiv w:val="1"/>
      <w:marLeft w:val="0"/>
      <w:marRight w:val="0"/>
      <w:marTop w:val="0"/>
      <w:marBottom w:val="0"/>
      <w:divBdr>
        <w:top w:val="none" w:sz="0" w:space="0" w:color="auto"/>
        <w:left w:val="none" w:sz="0" w:space="0" w:color="auto"/>
        <w:bottom w:val="none" w:sz="0" w:space="0" w:color="auto"/>
        <w:right w:val="none" w:sz="0" w:space="0" w:color="auto"/>
      </w:divBdr>
    </w:div>
    <w:div w:id="253366714">
      <w:bodyDiv w:val="1"/>
      <w:marLeft w:val="0"/>
      <w:marRight w:val="0"/>
      <w:marTop w:val="0"/>
      <w:marBottom w:val="0"/>
      <w:divBdr>
        <w:top w:val="none" w:sz="0" w:space="0" w:color="auto"/>
        <w:left w:val="none" w:sz="0" w:space="0" w:color="auto"/>
        <w:bottom w:val="none" w:sz="0" w:space="0" w:color="auto"/>
        <w:right w:val="none" w:sz="0" w:space="0" w:color="auto"/>
      </w:divBdr>
    </w:div>
    <w:div w:id="871695724">
      <w:bodyDiv w:val="1"/>
      <w:marLeft w:val="0"/>
      <w:marRight w:val="0"/>
      <w:marTop w:val="0"/>
      <w:marBottom w:val="0"/>
      <w:divBdr>
        <w:top w:val="none" w:sz="0" w:space="0" w:color="auto"/>
        <w:left w:val="none" w:sz="0" w:space="0" w:color="auto"/>
        <w:bottom w:val="none" w:sz="0" w:space="0" w:color="auto"/>
        <w:right w:val="none" w:sz="0" w:space="0" w:color="auto"/>
      </w:divBdr>
    </w:div>
    <w:div w:id="1043600279">
      <w:bodyDiv w:val="1"/>
      <w:marLeft w:val="0"/>
      <w:marRight w:val="0"/>
      <w:marTop w:val="0"/>
      <w:marBottom w:val="0"/>
      <w:divBdr>
        <w:top w:val="none" w:sz="0" w:space="0" w:color="auto"/>
        <w:left w:val="none" w:sz="0" w:space="0" w:color="auto"/>
        <w:bottom w:val="none" w:sz="0" w:space="0" w:color="auto"/>
        <w:right w:val="none" w:sz="0" w:space="0" w:color="auto"/>
      </w:divBdr>
    </w:div>
    <w:div w:id="1223449036">
      <w:bodyDiv w:val="1"/>
      <w:marLeft w:val="0"/>
      <w:marRight w:val="0"/>
      <w:marTop w:val="0"/>
      <w:marBottom w:val="0"/>
      <w:divBdr>
        <w:top w:val="none" w:sz="0" w:space="0" w:color="auto"/>
        <w:left w:val="none" w:sz="0" w:space="0" w:color="auto"/>
        <w:bottom w:val="none" w:sz="0" w:space="0" w:color="auto"/>
        <w:right w:val="none" w:sz="0" w:space="0" w:color="auto"/>
      </w:divBdr>
    </w:div>
    <w:div w:id="1280988036">
      <w:bodyDiv w:val="1"/>
      <w:marLeft w:val="0"/>
      <w:marRight w:val="0"/>
      <w:marTop w:val="0"/>
      <w:marBottom w:val="0"/>
      <w:divBdr>
        <w:top w:val="none" w:sz="0" w:space="0" w:color="auto"/>
        <w:left w:val="none" w:sz="0" w:space="0" w:color="auto"/>
        <w:bottom w:val="none" w:sz="0" w:space="0" w:color="auto"/>
        <w:right w:val="none" w:sz="0" w:space="0" w:color="auto"/>
      </w:divBdr>
    </w:div>
    <w:div w:id="1348631125">
      <w:bodyDiv w:val="1"/>
      <w:marLeft w:val="0"/>
      <w:marRight w:val="0"/>
      <w:marTop w:val="0"/>
      <w:marBottom w:val="0"/>
      <w:divBdr>
        <w:top w:val="none" w:sz="0" w:space="0" w:color="auto"/>
        <w:left w:val="none" w:sz="0" w:space="0" w:color="auto"/>
        <w:bottom w:val="none" w:sz="0" w:space="0" w:color="auto"/>
        <w:right w:val="none" w:sz="0" w:space="0" w:color="auto"/>
      </w:divBdr>
    </w:div>
    <w:div w:id="19400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tpa.police.uk/publications/fina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tpa.police.uk/publications/policing-pla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tpa.police.uk/police-strategy" TargetMode="External"/><Relationship Id="rId5" Type="http://schemas.openxmlformats.org/officeDocument/2006/relationships/webSettings" Target="webSettings.xml"/><Relationship Id="rId15" Type="http://schemas.openxmlformats.org/officeDocument/2006/relationships/hyperlink" Target="mailto:BTPArecruitment@btp.police.uk" TargetMode="External"/><Relationship Id="rId10" Type="http://schemas.openxmlformats.org/officeDocument/2006/relationships/hyperlink" Target="https://www.gov.uk/police-and-crime-commissioners" TargetMode="External"/><Relationship Id="rId4" Type="http://schemas.openxmlformats.org/officeDocument/2006/relationships/settings" Target="settings.xml"/><Relationship Id="rId9" Type="http://schemas.openxmlformats.org/officeDocument/2006/relationships/hyperlink" Target="http://www.spa.police.uk/" TargetMode="External"/><Relationship Id="rId14" Type="http://schemas.openxmlformats.org/officeDocument/2006/relationships/hyperlink" Target="https://btpa.police.uk/wp-content/uploads/2022/08/Code-of-Governance-June-20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AAE1-7155-4F2C-AAAB-532BA2F3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2293</Words>
  <Characters>13309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Start typing here</vt:lpstr>
    </vt:vector>
  </TitlesOfParts>
  <Company>Sherry Design Limited</Company>
  <LinksUpToDate>false</LinksUpToDate>
  <CharactersWithSpaces>15571</CharactersWithSpaces>
  <SharedDoc>false</SharedDoc>
  <HLinks>
    <vt:vector size="30" baseType="variant">
      <vt:variant>
        <vt:i4>4128895</vt:i4>
      </vt:variant>
      <vt:variant>
        <vt:i4>12</vt:i4>
      </vt:variant>
      <vt:variant>
        <vt:i4>0</vt:i4>
      </vt:variant>
      <vt:variant>
        <vt:i4>5</vt:i4>
      </vt:variant>
      <vt:variant>
        <vt:lpwstr>http://btpa.police.uk/publications/finances</vt:lpwstr>
      </vt:variant>
      <vt:variant>
        <vt:lpwstr/>
      </vt:variant>
      <vt:variant>
        <vt:i4>131085</vt:i4>
      </vt:variant>
      <vt:variant>
        <vt:i4>9</vt:i4>
      </vt:variant>
      <vt:variant>
        <vt:i4>0</vt:i4>
      </vt:variant>
      <vt:variant>
        <vt:i4>5</vt:i4>
      </vt:variant>
      <vt:variant>
        <vt:lpwstr>http://btpa.police.uk/publications/policing-plans</vt:lpwstr>
      </vt:variant>
      <vt:variant>
        <vt:lpwstr/>
      </vt:variant>
      <vt:variant>
        <vt:i4>6225924</vt:i4>
      </vt:variant>
      <vt:variant>
        <vt:i4>6</vt:i4>
      </vt:variant>
      <vt:variant>
        <vt:i4>0</vt:i4>
      </vt:variant>
      <vt:variant>
        <vt:i4>5</vt:i4>
      </vt:variant>
      <vt:variant>
        <vt:lpwstr>http://btpa.police.uk/police-strategy</vt:lpwstr>
      </vt:variant>
      <vt:variant>
        <vt:lpwstr/>
      </vt:variant>
      <vt:variant>
        <vt:i4>4653166</vt:i4>
      </vt:variant>
      <vt:variant>
        <vt:i4>3</vt:i4>
      </vt:variant>
      <vt:variant>
        <vt:i4>0</vt:i4>
      </vt:variant>
      <vt:variant>
        <vt:i4>5</vt:i4>
      </vt:variant>
      <vt:variant>
        <vt:lpwstr>mailto:BTPArecruitment@btp.pnn.police.uk</vt:lpwstr>
      </vt:variant>
      <vt:variant>
        <vt:lpwstr/>
      </vt:variant>
      <vt:variant>
        <vt:i4>3014725</vt:i4>
      </vt:variant>
      <vt:variant>
        <vt:i4>0</vt:i4>
      </vt:variant>
      <vt:variant>
        <vt:i4>0</vt:i4>
      </vt:variant>
      <vt:variant>
        <vt:i4>5</vt:i4>
      </vt:variant>
      <vt:variant>
        <vt:lpwstr>mailto:Calvert.Yasin@btp.pnn.police.uk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Alan Sherry</dc:creator>
  <cp:keywords/>
  <cp:lastModifiedBy>Yasin, Lucy (She/Her)</cp:lastModifiedBy>
  <cp:revision>2</cp:revision>
  <cp:lastPrinted>2018-09-25T11:12:00Z</cp:lastPrinted>
  <dcterms:created xsi:type="dcterms:W3CDTF">2023-05-04T16:21:00Z</dcterms:created>
  <dcterms:modified xsi:type="dcterms:W3CDTF">2023-05-04T16:21:00Z</dcterms:modified>
</cp:coreProperties>
</file>